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70B74A73"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A7D47"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1</w:t>
      </w:r>
      <w:r w:rsidRPr="000C416C">
        <w:rPr>
          <w:b/>
          <w:noProof/>
          <w:sz w:val="24"/>
          <w:lang w:val="en-US"/>
        </w:rPr>
        <w:t xml:space="preserve"> Meeting #1</w:t>
      </w:r>
      <w:r>
        <w:rPr>
          <w:b/>
          <w:noProof/>
          <w:sz w:val="24"/>
          <w:lang w:val="en-US"/>
        </w:rPr>
        <w:t xml:space="preserve">20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077D32">
        <w:rPr>
          <w:b/>
          <w:noProof/>
          <w:sz w:val="24"/>
          <w:lang w:val="en-US"/>
        </w:rPr>
        <w:t>211</w:t>
      </w:r>
      <w:r w:rsidR="00B57B2F">
        <w:rPr>
          <w:b/>
          <w:noProof/>
          <w:sz w:val="24"/>
          <w:lang w:val="en-US"/>
        </w:rPr>
        <w:t>586</w:t>
      </w:r>
    </w:p>
    <w:p w14:paraId="015EA4F0" w14:textId="77777777" w:rsidR="00CD7379" w:rsidRPr="002D2634" w:rsidRDefault="00CD7379" w:rsidP="00CD7379">
      <w:pPr>
        <w:tabs>
          <w:tab w:val="left" w:pos="1985"/>
        </w:tabs>
        <w:rPr>
          <w:bCs/>
          <w:i/>
          <w:iCs/>
          <w:color w:val="2F5496"/>
          <w:sz w:val="24"/>
          <w:lang w:val="pt-PT"/>
        </w:rPr>
      </w:pPr>
      <w:r w:rsidRPr="009754A5">
        <w:rPr>
          <w:rFonts w:ascii="Arial" w:eastAsia="MS Mincho" w:hAnsi="Arial"/>
          <w:b/>
          <w:noProof/>
          <w:sz w:val="24"/>
        </w:rPr>
        <w:t>Toulouse, France</w:t>
      </w:r>
      <w:r w:rsidRPr="0076784F">
        <w:rPr>
          <w:rFonts w:ascii="Arial" w:eastAsia="MS Mincho" w:hAnsi="Arial"/>
          <w:b/>
          <w:noProof/>
          <w:sz w:val="24"/>
        </w:rPr>
        <w:t xml:space="preserve">, </w:t>
      </w:r>
      <w:r>
        <w:rPr>
          <w:rFonts w:ascii="Arial" w:eastAsia="MS Mincho" w:hAnsi="Arial"/>
          <w:b/>
          <w:noProof/>
          <w:sz w:val="24"/>
        </w:rPr>
        <w:t xml:space="preserve">November 14-18, 2022                                                 </w:t>
      </w:r>
      <w:r>
        <w:rPr>
          <w:rFonts w:ascii="Arial" w:eastAsia="MS Mincho" w:hAnsi="Arial"/>
          <w:b/>
          <w:noProof/>
          <w:sz w:val="24"/>
        </w:rPr>
        <w:tab/>
        <w:t xml:space="preserve">     </w:t>
      </w:r>
    </w:p>
    <w:p w14:paraId="25DAFCD2" w14:textId="0D5F459A" w:rsidR="00262EDD" w:rsidRPr="002F08EB" w:rsidRDefault="00CD7379" w:rsidP="00CD7379">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EFAF24"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8.3.</w:t>
      </w:r>
      <w:r w:rsidR="00C76E5B">
        <w:rPr>
          <w:sz w:val="24"/>
          <w:lang w:val="pt-PT"/>
        </w:rPr>
        <w:t>2</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CC4F74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C76E5B">
        <w:rPr>
          <w:rFonts w:ascii="Arial" w:hAnsi="Arial"/>
          <w:sz w:val="24"/>
        </w:rPr>
        <w:t>NES NW DTX/DRX Techniques</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55EDCE2E" w:rsidR="00B65E42" w:rsidRDefault="00D80F5E" w:rsidP="006600CD">
      <w:pPr>
        <w:spacing w:after="0"/>
      </w:pPr>
      <w:r>
        <w:t xml:space="preserve">The </w:t>
      </w:r>
      <w:r w:rsidR="00543F3A">
        <w:t>S</w:t>
      </w:r>
      <w:r>
        <w:t xml:space="preserve">ID on Rel-18 </w:t>
      </w:r>
      <w:r w:rsidR="00A46D15">
        <w:t>network energy saving</w:t>
      </w:r>
      <w:r>
        <w:t xml:space="preserve"> holds the following objective</w:t>
      </w:r>
      <w:r w:rsidR="0072678F">
        <w:t>s</w:t>
      </w:r>
      <w:r>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04110CF" w14:textId="77777777" w:rsidR="00417842" w:rsidRPr="002E4EE7" w:rsidRDefault="00417842" w:rsidP="00B5506A">
            <w:pPr>
              <w:numPr>
                <w:ilvl w:val="0"/>
                <w:numId w:val="4"/>
              </w:numPr>
              <w:overflowPunct w:val="0"/>
              <w:autoSpaceDE w:val="0"/>
              <w:autoSpaceDN w:val="0"/>
              <w:adjustRightInd w:val="0"/>
              <w:spacing w:after="0"/>
              <w:textAlignment w:val="baseline"/>
              <w:rPr>
                <w:bCs/>
              </w:rPr>
            </w:pPr>
            <w:r w:rsidRPr="002E4EE7">
              <w:rPr>
                <w:bCs/>
              </w:rPr>
              <w:t>Study and identify techniques on the gNB and UE side to improve network energy savings in terms of both BS transmission and reception, which may include:</w:t>
            </w:r>
          </w:p>
          <w:p w14:paraId="5B2E9629" w14:textId="77777777" w:rsidR="00417842" w:rsidRPr="002E4EE7" w:rsidRDefault="00417842" w:rsidP="00B5506A">
            <w:pPr>
              <w:numPr>
                <w:ilvl w:val="0"/>
                <w:numId w:val="5"/>
              </w:numPr>
              <w:overflowPunct w:val="0"/>
              <w:autoSpaceDE w:val="0"/>
              <w:autoSpaceDN w:val="0"/>
              <w:adjustRightInd w:val="0"/>
              <w:spacing w:after="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25438F3F" w14:textId="77777777" w:rsidR="00417842" w:rsidRPr="002E4EE7" w:rsidRDefault="00417842" w:rsidP="00B5506A">
            <w:pPr>
              <w:numPr>
                <w:ilvl w:val="0"/>
                <w:numId w:val="5"/>
              </w:numPr>
              <w:overflowPunct w:val="0"/>
              <w:autoSpaceDE w:val="0"/>
              <w:autoSpaceDN w:val="0"/>
              <w:adjustRightInd w:val="0"/>
              <w:spacing w:after="0"/>
              <w:ind w:hanging="331"/>
              <w:jc w:val="both"/>
              <w:textAlignment w:val="baseline"/>
              <w:rPr>
                <w:bCs/>
                <w:lang w:val="en-US"/>
              </w:rPr>
            </w:pPr>
            <w:r w:rsidRPr="002E4EE7">
              <w:rPr>
                <w:bCs/>
                <w:lang w:val="en-US"/>
              </w:rPr>
              <w:t>Information exchange/coordination over network interfaces [RAN3]</w:t>
            </w:r>
          </w:p>
          <w:p w14:paraId="2BDB186A" w14:textId="77777777" w:rsidR="00417842" w:rsidRPr="002B7217" w:rsidRDefault="00417842" w:rsidP="00417842">
            <w:pPr>
              <w:spacing w:after="0"/>
              <w:ind w:left="709"/>
              <w:jc w:val="both"/>
              <w:rPr>
                <w:bCs/>
                <w:lang w:val="en-US"/>
              </w:rPr>
            </w:pPr>
            <w:r w:rsidRPr="002B7217">
              <w:t>Note: Oth</w:t>
            </w:r>
            <w:r>
              <w:t>er techniques are not precluded</w:t>
            </w:r>
          </w:p>
          <w:p w14:paraId="1AA31983" w14:textId="77777777" w:rsidR="006C245C" w:rsidRDefault="006C245C" w:rsidP="00417842">
            <w:pPr>
              <w:pStyle w:val="maintext"/>
              <w:ind w:firstLineChars="0" w:firstLine="0"/>
              <w:rPr>
                <w:bCs/>
                <w:lang w:val="en-US"/>
              </w:rPr>
            </w:pPr>
          </w:p>
          <w:p w14:paraId="3F57042C" w14:textId="77777777" w:rsidR="00B65E42" w:rsidRDefault="006C245C" w:rsidP="00417842">
            <w:pPr>
              <w:pStyle w:val="maintext"/>
              <w:ind w:firstLineChars="0" w:firstLine="0"/>
              <w:rPr>
                <w:bCs/>
                <w:lang w:val="en-US"/>
              </w:rPr>
            </w:pPr>
            <w:r w:rsidRPr="002E4EE7">
              <w:rPr>
                <w:bCs/>
                <w:lang w:val="en-US"/>
              </w:rPr>
              <w:t>The study should prioritize idle/empty and low/medium load scenarios (the exact definition of such loads is left to the study), and different loads among carriers and neighbor cells are allowed.</w:t>
            </w:r>
          </w:p>
          <w:p w14:paraId="4948A153" w14:textId="77777777" w:rsidR="006C245C" w:rsidRDefault="006C245C" w:rsidP="00417842">
            <w:pPr>
              <w:pStyle w:val="maintext"/>
              <w:ind w:firstLineChars="0" w:firstLine="0"/>
              <w:rPr>
                <w:bCs/>
                <w:szCs w:val="18"/>
                <w:lang w:val="en-US"/>
              </w:rPr>
            </w:pPr>
          </w:p>
          <w:p w14:paraId="080149EE" w14:textId="7FDD7C44" w:rsidR="006C245C" w:rsidRPr="002C4170" w:rsidRDefault="002C4170" w:rsidP="002C4170">
            <w:pPr>
              <w:spacing w:after="0"/>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energy savings techniques, with the possible exception of techniques developed specifically for greenfield deployments.</w:t>
            </w:r>
          </w:p>
        </w:tc>
      </w:tr>
    </w:tbl>
    <w:p w14:paraId="5CA0210C" w14:textId="77777777" w:rsidR="00B65E42" w:rsidRDefault="00B65E42" w:rsidP="006600CD">
      <w:pPr>
        <w:spacing w:after="0"/>
      </w:pPr>
    </w:p>
    <w:p w14:paraId="567263CA" w14:textId="25B81E34" w:rsidR="00F705E6" w:rsidRDefault="00FE3DE7" w:rsidP="005B6108">
      <w:pPr>
        <w:spacing w:after="0"/>
      </w:pPr>
      <w:r>
        <w:t>One technique that was a target for NES is NW DTX/DRX, the following agreements were rea</w:t>
      </w:r>
      <w:r w:rsidR="00CD7823">
        <w:t>ched during the meeting [2]:</w:t>
      </w:r>
    </w:p>
    <w:p w14:paraId="6C65FFC1" w14:textId="77777777" w:rsidR="00A72F68" w:rsidRDefault="00A72F68" w:rsidP="00A72F68">
      <w:pPr>
        <w:pStyle w:val="Doc-text2"/>
        <w:pBdr>
          <w:top w:val="single" w:sz="4" w:space="1" w:color="auto"/>
          <w:left w:val="single" w:sz="4" w:space="1" w:color="auto"/>
          <w:bottom w:val="single" w:sz="4" w:space="1" w:color="auto"/>
          <w:right w:val="single" w:sz="4" w:space="1" w:color="auto"/>
        </w:pBdr>
      </w:pPr>
      <w:r>
        <w:t>=&gt;</w:t>
      </w:r>
      <w:r>
        <w:tab/>
        <w:t xml:space="preserve">Let’s start with understanding solution in the context of connected </w:t>
      </w:r>
    </w:p>
    <w:p w14:paraId="201182F4" w14:textId="77777777" w:rsidR="00A72F68" w:rsidRDefault="00A72F68" w:rsidP="00A72F68">
      <w:pPr>
        <w:pStyle w:val="Doc-text2"/>
        <w:pBdr>
          <w:top w:val="single" w:sz="4" w:space="1" w:color="auto"/>
          <w:left w:val="single" w:sz="4" w:space="1" w:color="auto"/>
          <w:bottom w:val="single" w:sz="4" w:space="1" w:color="auto"/>
          <w:right w:val="single" w:sz="4" w:space="1" w:color="auto"/>
        </w:pBdr>
      </w:pPr>
    </w:p>
    <w:p w14:paraId="5AD99D96" w14:textId="77777777" w:rsidR="00A72F68" w:rsidRDefault="00A72F68" w:rsidP="00A72F68">
      <w:pPr>
        <w:pStyle w:val="Doc-text2"/>
        <w:pBdr>
          <w:top w:val="single" w:sz="4" w:space="1" w:color="auto"/>
          <w:left w:val="single" w:sz="4" w:space="1" w:color="auto"/>
          <w:bottom w:val="single" w:sz="4" w:space="1" w:color="auto"/>
          <w:right w:val="single" w:sz="4" w:space="1" w:color="auto"/>
        </w:pBdr>
      </w:pPr>
      <w:r>
        <w:t>•</w:t>
      </w:r>
      <w:r>
        <w:tab/>
        <w:t>Example 1: gNB is expected to turn off all transmission and reception for data traffic and reference signal during Cell DTX / DRX OFF duration.</w:t>
      </w:r>
    </w:p>
    <w:p w14:paraId="697F6040" w14:textId="77777777" w:rsidR="00A72F68" w:rsidRDefault="00A72F68" w:rsidP="00A72F68">
      <w:pPr>
        <w:pStyle w:val="Doc-text2"/>
        <w:pBdr>
          <w:top w:val="single" w:sz="4" w:space="1" w:color="auto"/>
          <w:left w:val="single" w:sz="4" w:space="1" w:color="auto"/>
          <w:bottom w:val="single" w:sz="4" w:space="1" w:color="auto"/>
          <w:right w:val="single" w:sz="4" w:space="1" w:color="auto"/>
        </w:pBdr>
      </w:pPr>
      <w:r>
        <w:t>•</w:t>
      </w:r>
      <w:r>
        <w:tab/>
        <w:t>Example 2: gNB is expected to turn off its transmission / reception only for data traffic during Cell DTX / DRX OFF duration (i.e. gNB will still transmit / receive reference signals).</w:t>
      </w:r>
    </w:p>
    <w:p w14:paraId="569C7282" w14:textId="77777777" w:rsidR="00A72F68" w:rsidRDefault="00A72F68" w:rsidP="00A72F68">
      <w:pPr>
        <w:pStyle w:val="Doc-text2"/>
        <w:pBdr>
          <w:top w:val="single" w:sz="4" w:space="1" w:color="auto"/>
          <w:left w:val="single" w:sz="4" w:space="1" w:color="auto"/>
          <w:bottom w:val="single" w:sz="4" w:space="1" w:color="auto"/>
          <w:right w:val="single" w:sz="4" w:space="1" w:color="auto"/>
        </w:pBdr>
      </w:pPr>
      <w:r>
        <w:t>•</w:t>
      </w:r>
      <w:r>
        <w:tab/>
        <w:t>Example 3: gNB is expected to turn off its dynamic transmission / reception during Cell DTX / DRX OFF duration (i.e. gNB is expected to still perform periodic transmission / reception, including SPS, CG-PUSCH, SR, RACH, and SRS).</w:t>
      </w:r>
    </w:p>
    <w:p w14:paraId="4AE1B759" w14:textId="77777777" w:rsidR="00A72F68" w:rsidRPr="00837A29" w:rsidRDefault="00A72F68" w:rsidP="00A72F68">
      <w:pPr>
        <w:pStyle w:val="Doc-text2"/>
        <w:pBdr>
          <w:top w:val="single" w:sz="4" w:space="1" w:color="auto"/>
          <w:left w:val="single" w:sz="4" w:space="1" w:color="auto"/>
          <w:bottom w:val="single" w:sz="4" w:space="1" w:color="auto"/>
          <w:right w:val="single" w:sz="4" w:space="1" w:color="auto"/>
        </w:pBdr>
      </w:pPr>
      <w:r>
        <w:t>•</w:t>
      </w:r>
      <w:r>
        <w:tab/>
        <w:t>Example 4: gNB is expected to only transmit reference signals (e.g. CSI-RS for measurement).</w:t>
      </w:r>
    </w:p>
    <w:p w14:paraId="5043AE2B" w14:textId="77777777" w:rsidR="00A72F68" w:rsidRPr="0014797E" w:rsidRDefault="00A72F68" w:rsidP="00A72F68">
      <w:pPr>
        <w:pStyle w:val="Doc-text2"/>
        <w:pBdr>
          <w:top w:val="single" w:sz="4" w:space="1" w:color="auto"/>
          <w:left w:val="single" w:sz="4" w:space="1" w:color="auto"/>
          <w:bottom w:val="single" w:sz="4" w:space="1" w:color="auto"/>
          <w:right w:val="single" w:sz="4" w:space="1" w:color="auto"/>
        </w:pBdr>
        <w:rPr>
          <w:b/>
          <w:bCs/>
        </w:rPr>
      </w:pPr>
      <w:r w:rsidRPr="0014797E">
        <w:rPr>
          <w:b/>
          <w:bCs/>
        </w:rPr>
        <w:t>=&gt;</w:t>
      </w:r>
      <w:r w:rsidRPr="0014797E">
        <w:rPr>
          <w:b/>
          <w:bCs/>
        </w:rPr>
        <w:tab/>
        <w:t xml:space="preserve">RAN2 assumes that the options above are possible for gNB DTX/DRX </w:t>
      </w:r>
      <w:proofErr w:type="spellStart"/>
      <w:r w:rsidRPr="0014797E">
        <w:rPr>
          <w:b/>
          <w:bCs/>
        </w:rPr>
        <w:t>behavior</w:t>
      </w:r>
      <w:proofErr w:type="spellEnd"/>
      <w:r w:rsidRPr="0014797E">
        <w:rPr>
          <w:b/>
          <w:bCs/>
        </w:rPr>
        <w:t xml:space="preserve"> and discuss UE RAN2 </w:t>
      </w:r>
      <w:proofErr w:type="spellStart"/>
      <w:r w:rsidRPr="0014797E">
        <w:rPr>
          <w:b/>
          <w:bCs/>
        </w:rPr>
        <w:t>behavior</w:t>
      </w:r>
      <w:proofErr w:type="spellEnd"/>
      <w:r w:rsidRPr="0014797E">
        <w:rPr>
          <w:b/>
          <w:bCs/>
        </w:rPr>
        <w:t xml:space="preserve">/impact during the DTX/DRX. </w:t>
      </w:r>
    </w:p>
    <w:p w14:paraId="4F7D837C" w14:textId="77777777" w:rsidR="00A72F68" w:rsidRDefault="00A72F68" w:rsidP="00A72F68">
      <w:pPr>
        <w:pStyle w:val="Doc-text2"/>
        <w:pBdr>
          <w:top w:val="single" w:sz="4" w:space="1" w:color="auto"/>
          <w:left w:val="single" w:sz="4" w:space="1" w:color="auto"/>
          <w:bottom w:val="single" w:sz="4" w:space="1" w:color="auto"/>
          <w:right w:val="single" w:sz="4" w:space="1" w:color="auto"/>
        </w:pBdr>
      </w:pPr>
    </w:p>
    <w:p w14:paraId="1D29FA0D" w14:textId="77777777" w:rsidR="00A72F68" w:rsidRDefault="00A72F68" w:rsidP="00A72F68">
      <w:pPr>
        <w:pStyle w:val="Doc-text2"/>
        <w:pBdr>
          <w:top w:val="single" w:sz="4" w:space="1" w:color="auto"/>
          <w:left w:val="single" w:sz="4" w:space="1" w:color="auto"/>
          <w:bottom w:val="single" w:sz="4" w:space="1" w:color="auto"/>
          <w:right w:val="single" w:sz="4" w:space="1" w:color="auto"/>
        </w:pBdr>
        <w:rPr>
          <w:b/>
          <w:bCs/>
        </w:rPr>
      </w:pPr>
      <w:r w:rsidRPr="0014797E">
        <w:rPr>
          <w:b/>
          <w:bCs/>
        </w:rPr>
        <w:t>=&gt;</w:t>
      </w:r>
      <w:r w:rsidRPr="0014797E">
        <w:rPr>
          <w:b/>
          <w:bCs/>
        </w:rPr>
        <w:tab/>
        <w:t xml:space="preserve">For the purpose of our discussion we will focus on a single UE </w:t>
      </w:r>
      <w:proofErr w:type="spellStart"/>
      <w:r w:rsidRPr="0014797E">
        <w:rPr>
          <w:b/>
          <w:bCs/>
        </w:rPr>
        <w:t>behavior</w:t>
      </w:r>
      <w:proofErr w:type="spellEnd"/>
      <w:r w:rsidRPr="0014797E">
        <w:rPr>
          <w:b/>
          <w:bCs/>
        </w:rPr>
        <w:t xml:space="preserve"> at any point in time.  FFS if we allow multiple configuration of NW DRX/DTX </w:t>
      </w:r>
      <w:proofErr w:type="spellStart"/>
      <w:r w:rsidRPr="0014797E">
        <w:rPr>
          <w:b/>
          <w:bCs/>
        </w:rPr>
        <w:t>behaviors</w:t>
      </w:r>
      <w:proofErr w:type="spellEnd"/>
      <w:r w:rsidRPr="0014797E">
        <w:rPr>
          <w:b/>
          <w:bCs/>
        </w:rPr>
        <w:t>.</w:t>
      </w:r>
    </w:p>
    <w:p w14:paraId="6E6A7B91" w14:textId="77777777" w:rsidR="00A72F68" w:rsidRDefault="00A72F68" w:rsidP="00A72F68">
      <w:pPr>
        <w:pStyle w:val="Doc-text2"/>
        <w:pBdr>
          <w:top w:val="single" w:sz="4" w:space="1" w:color="auto"/>
          <w:left w:val="single" w:sz="4" w:space="1" w:color="auto"/>
          <w:bottom w:val="single" w:sz="4" w:space="1" w:color="auto"/>
          <w:right w:val="single" w:sz="4" w:space="1" w:color="auto"/>
        </w:pBdr>
        <w:rPr>
          <w:b/>
          <w:bCs/>
        </w:rPr>
      </w:pPr>
    </w:p>
    <w:p w14:paraId="06136862" w14:textId="77777777" w:rsidR="00A72F68" w:rsidRDefault="00A72F68" w:rsidP="00A72F68">
      <w:pPr>
        <w:pStyle w:val="Doc-text2"/>
        <w:pBdr>
          <w:top w:val="single" w:sz="4" w:space="1" w:color="auto"/>
          <w:left w:val="single" w:sz="4" w:space="1" w:color="auto"/>
          <w:bottom w:val="single" w:sz="4" w:space="1" w:color="auto"/>
          <w:right w:val="single" w:sz="4" w:space="1" w:color="auto"/>
        </w:pBdr>
      </w:pPr>
      <w:r>
        <w:t>=&gt;</w:t>
      </w:r>
      <w:r>
        <w:tab/>
        <w:t xml:space="preserve">Periodic DTX is assumed as a baseline.  The gNB provides indication to UE about NW DTX mode/configuration via dedicated dynamic L1/L2 </w:t>
      </w:r>
      <w:proofErr w:type="spellStart"/>
      <w:r>
        <w:t>signaling</w:t>
      </w:r>
      <w:proofErr w:type="spellEnd"/>
      <w:r>
        <w:t xml:space="preserve">. </w:t>
      </w:r>
    </w:p>
    <w:p w14:paraId="31983113" w14:textId="77777777" w:rsidR="00A72F68" w:rsidRDefault="00A72F68" w:rsidP="00A72F68">
      <w:pPr>
        <w:pStyle w:val="Doc-text2"/>
        <w:pBdr>
          <w:top w:val="single" w:sz="4" w:space="1" w:color="auto"/>
          <w:left w:val="single" w:sz="4" w:space="1" w:color="auto"/>
          <w:bottom w:val="single" w:sz="4" w:space="1" w:color="auto"/>
          <w:right w:val="single" w:sz="4" w:space="1" w:color="auto"/>
        </w:pBdr>
      </w:pPr>
      <w:r>
        <w:t>=&gt;</w:t>
      </w:r>
      <w:r>
        <w:tab/>
        <w:t>Dynamic L1/L2 group signalling from NW to provide NW DTX mode/configuration is also considered in RAN2</w:t>
      </w:r>
    </w:p>
    <w:p w14:paraId="369F6598" w14:textId="77777777" w:rsidR="00A72F68" w:rsidRPr="00FC2268" w:rsidRDefault="00A72F68" w:rsidP="00A72F68">
      <w:pPr>
        <w:pStyle w:val="Doc-text2"/>
        <w:pBdr>
          <w:top w:val="single" w:sz="4" w:space="1" w:color="auto"/>
          <w:left w:val="single" w:sz="4" w:space="1" w:color="auto"/>
          <w:bottom w:val="single" w:sz="4" w:space="1" w:color="auto"/>
          <w:right w:val="single" w:sz="4" w:space="1" w:color="auto"/>
        </w:pBdr>
      </w:pPr>
      <w:r>
        <w:t>=&gt;</w:t>
      </w:r>
      <w:r>
        <w:tab/>
        <w:t xml:space="preserve">It is beneficial to align UE DRX with network DTX and DRX alignment among multiple UEs.  Details are FFS, including UE transmission/reception </w:t>
      </w:r>
      <w:proofErr w:type="spellStart"/>
      <w:r>
        <w:t>behavior</w:t>
      </w:r>
      <w:proofErr w:type="spellEnd"/>
      <w:r>
        <w:t xml:space="preserve"> during DTX.  RAN2 to study the alignment.   </w:t>
      </w:r>
    </w:p>
    <w:p w14:paraId="236B74A1" w14:textId="0E77991A" w:rsidR="00A72F68" w:rsidRDefault="00751A48" w:rsidP="005B6108">
      <w:pPr>
        <w:spacing w:after="0"/>
      </w:pPr>
      <w:r>
        <w:lastRenderedPageBreak/>
        <w:t xml:space="preserve">An offline email discussion took place to </w:t>
      </w:r>
      <w:r w:rsidR="00033888">
        <w:t>attempt to identify the remaining issues [3] with the following remaining issues on NW DTX/DRX iden</w:t>
      </w:r>
      <w:r w:rsidR="00102287">
        <w:t>tified</w:t>
      </w:r>
      <w:r w:rsidR="00F578C5">
        <w:t xml:space="preserve"> and a TP drafted in [4]</w:t>
      </w:r>
      <w:r w:rsidR="00102287">
        <w:t>:</w:t>
      </w:r>
    </w:p>
    <w:tbl>
      <w:tblPr>
        <w:tblStyle w:val="TableGrid"/>
        <w:tblW w:w="0" w:type="auto"/>
        <w:tblLook w:val="04A0" w:firstRow="1" w:lastRow="0" w:firstColumn="1" w:lastColumn="0" w:noHBand="0" w:noVBand="1"/>
      </w:tblPr>
      <w:tblGrid>
        <w:gridCol w:w="9631"/>
      </w:tblGrid>
      <w:tr w:rsidR="00D45BDE" w14:paraId="4B5C8994" w14:textId="77777777" w:rsidTr="00D45BDE">
        <w:tc>
          <w:tcPr>
            <w:tcW w:w="9631" w:type="dxa"/>
          </w:tcPr>
          <w:p w14:paraId="3816D96B" w14:textId="77777777" w:rsidR="00D45BDE" w:rsidRPr="004C0E5F" w:rsidRDefault="00D45BDE" w:rsidP="00D45BDE">
            <w:pPr>
              <w:rPr>
                <w:bCs/>
                <w:color w:val="000000" w:themeColor="text1"/>
                <w:lang w:eastAsia="zh-CN"/>
              </w:rPr>
            </w:pPr>
            <w:r w:rsidRPr="004C0E5F">
              <w:rPr>
                <w:rFonts w:hint="eastAsia"/>
                <w:bCs/>
                <w:color w:val="000000" w:themeColor="text1"/>
                <w:lang w:eastAsia="zh-CN"/>
              </w:rPr>
              <w:t>L</w:t>
            </w:r>
            <w:r w:rsidRPr="004C0E5F">
              <w:rPr>
                <w:bCs/>
                <w:color w:val="000000" w:themeColor="text1"/>
                <w:lang w:eastAsia="zh-CN"/>
              </w:rPr>
              <w:t>ist of remaining issues on NW DTX/DRX:</w:t>
            </w:r>
          </w:p>
          <w:p w14:paraId="5F9FB1DD" w14:textId="77777777" w:rsidR="00D45BDE" w:rsidRPr="004C0E5F" w:rsidRDefault="00D45BDE" w:rsidP="00D45BDE">
            <w:pPr>
              <w:pStyle w:val="ListParagraph"/>
              <w:numPr>
                <w:ilvl w:val="0"/>
                <w:numId w:val="19"/>
              </w:numPr>
              <w:overflowPunct w:val="0"/>
              <w:autoSpaceDE w:val="0"/>
              <w:autoSpaceDN w:val="0"/>
              <w:adjustRightInd w:val="0"/>
              <w:contextualSpacing w:val="0"/>
              <w:textAlignment w:val="baseline"/>
              <w:rPr>
                <w:bCs/>
                <w:color w:val="000000" w:themeColor="text1"/>
                <w:lang w:eastAsia="zh-CN"/>
              </w:rPr>
            </w:pPr>
            <w:r w:rsidRPr="004C0E5F">
              <w:rPr>
                <w:rFonts w:hint="eastAsia"/>
                <w:bCs/>
                <w:color w:val="000000" w:themeColor="text1"/>
                <w:lang w:eastAsia="zh-CN"/>
              </w:rPr>
              <w:t>C</w:t>
            </w:r>
            <w:r w:rsidRPr="004C0E5F">
              <w:rPr>
                <w:bCs/>
                <w:color w:val="000000" w:themeColor="text1"/>
                <w:lang w:eastAsia="zh-CN"/>
              </w:rPr>
              <w:t>larification of previous agreement:</w:t>
            </w:r>
          </w:p>
          <w:p w14:paraId="0C775CE1" w14:textId="77777777" w:rsidR="00D45BDE" w:rsidRPr="004C0E5F" w:rsidRDefault="00D45BDE" w:rsidP="00D45BDE">
            <w:pPr>
              <w:pStyle w:val="ListParagraph"/>
              <w:ind w:left="360"/>
              <w:rPr>
                <w:bCs/>
                <w:color w:val="000000" w:themeColor="text1"/>
                <w:lang w:eastAsia="zh-CN"/>
              </w:rPr>
            </w:pPr>
            <w:r w:rsidRPr="004C0E5F">
              <w:rPr>
                <w:bCs/>
                <w:color w:val="000000" w:themeColor="text1"/>
                <w:lang w:eastAsia="zh-CN"/>
              </w:rPr>
              <w:t>Whether L1/L2 signalling can be used to configure the DTX/DRX pattern, or only be used to activate the RRC-configured DTX/DRX pattern:</w:t>
            </w:r>
          </w:p>
          <w:p w14:paraId="5A32E54D"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Alt-1: Allow both periodic pattern (configured by RRC) and one-shot pattern (configured by L1/L2 signalling)</w:t>
            </w:r>
          </w:p>
          <w:p w14:paraId="6D939256"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Alt-2: Allow periodic pattern, configured by RRC and activated by L1/L2 signalling</w:t>
            </w:r>
          </w:p>
          <w:p w14:paraId="5161E580" w14:textId="77777777" w:rsidR="00D45BDE" w:rsidRPr="004C0E5F" w:rsidRDefault="00D45BDE" w:rsidP="00D45BDE">
            <w:pPr>
              <w:pStyle w:val="ListParagraph"/>
              <w:numPr>
                <w:ilvl w:val="0"/>
                <w:numId w:val="19"/>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Configuration and signalling:</w:t>
            </w:r>
          </w:p>
          <w:p w14:paraId="33AE4DDF" w14:textId="77777777" w:rsidR="00D45BDE" w:rsidRPr="004C0E5F" w:rsidRDefault="00D45BDE" w:rsidP="00D45BDE">
            <w:pPr>
              <w:pStyle w:val="ListParagraph"/>
              <w:ind w:left="360"/>
              <w:rPr>
                <w:bCs/>
                <w:color w:val="000000" w:themeColor="text1"/>
                <w:lang w:eastAsia="zh-CN"/>
              </w:rPr>
            </w:pPr>
            <w:r w:rsidRPr="004C0E5F">
              <w:rPr>
                <w:bCs/>
                <w:color w:val="000000" w:themeColor="text1"/>
                <w:lang w:eastAsia="zh-CN"/>
              </w:rPr>
              <w:t>2-1:</w:t>
            </w:r>
            <w:r w:rsidRPr="004C0E5F">
              <w:rPr>
                <w:bCs/>
                <w:color w:val="000000" w:themeColor="text1"/>
              </w:rPr>
              <w:t xml:space="preserve"> </w:t>
            </w:r>
            <w:r w:rsidRPr="004C0E5F">
              <w:rPr>
                <w:bCs/>
                <w:color w:val="000000" w:themeColor="text1"/>
                <w:lang w:eastAsia="zh-CN"/>
              </w:rPr>
              <w:t>The detailed information to be configured, e.g. DTX/DRX pattern etc.</w:t>
            </w:r>
          </w:p>
          <w:p w14:paraId="40EE2CD8" w14:textId="77777777" w:rsidR="00D45BDE" w:rsidRPr="004C0E5F" w:rsidRDefault="00D45BDE" w:rsidP="00D45BDE">
            <w:pPr>
              <w:pStyle w:val="ListParagraph"/>
              <w:ind w:left="360"/>
              <w:rPr>
                <w:bCs/>
                <w:color w:val="000000" w:themeColor="text1"/>
                <w:lang w:eastAsia="zh-CN"/>
              </w:rPr>
            </w:pPr>
            <w:r w:rsidRPr="004C0E5F">
              <w:rPr>
                <w:bCs/>
                <w:color w:val="000000" w:themeColor="text1"/>
                <w:lang w:eastAsia="zh-CN"/>
              </w:rPr>
              <w:t>2-2: The signalling design, including but not limited to:</w:t>
            </w:r>
          </w:p>
          <w:p w14:paraId="0C3B233A"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Notification procedure and signalling of DTX/DRX pattern?</w:t>
            </w:r>
          </w:p>
          <w:p w14:paraId="53C329DB"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How group signalling applies to the configuration or mode notification?</w:t>
            </w:r>
          </w:p>
          <w:p w14:paraId="0129A2D6" w14:textId="77777777" w:rsidR="00D45BDE" w:rsidRPr="004C0E5F" w:rsidRDefault="00D45BDE" w:rsidP="00D45BDE">
            <w:pPr>
              <w:pStyle w:val="ListParagraph"/>
              <w:ind w:left="360"/>
              <w:rPr>
                <w:bCs/>
                <w:color w:val="000000" w:themeColor="text1"/>
                <w:lang w:eastAsia="zh-CN"/>
              </w:rPr>
            </w:pPr>
            <w:r w:rsidRPr="004C0E5F">
              <w:rPr>
                <w:bCs/>
                <w:color w:val="000000" w:themeColor="text1"/>
                <w:lang w:eastAsia="zh-CN"/>
              </w:rPr>
              <w:t>2-3: Multiple configurations</w:t>
            </w:r>
          </w:p>
          <w:p w14:paraId="35588AEA"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Joint or separate configuration of DTX and DRX mode/operation</w:t>
            </w:r>
          </w:p>
          <w:p w14:paraId="20D5FC11"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Whether multiple DTX/DRX configurations/modes (based on the definition of multiple configurations from above) are allowed to be configured via RRC signalling</w:t>
            </w:r>
          </w:p>
          <w:p w14:paraId="4C33DAF9"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Whether the activation of NW DRX can be different with NW DTX</w:t>
            </w:r>
          </w:p>
          <w:p w14:paraId="7C646CE4"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The potential signalling impacts</w:t>
            </w:r>
          </w:p>
          <w:p w14:paraId="33B254AD" w14:textId="77777777" w:rsidR="00D45BDE" w:rsidRPr="004C0E5F" w:rsidRDefault="00D45BDE" w:rsidP="00D45BDE">
            <w:pPr>
              <w:pStyle w:val="ListParagraph"/>
              <w:ind w:left="360"/>
              <w:rPr>
                <w:bCs/>
                <w:color w:val="000000" w:themeColor="text1"/>
                <w:lang w:eastAsia="zh-CN"/>
              </w:rPr>
            </w:pPr>
            <w:r w:rsidRPr="004C0E5F">
              <w:rPr>
                <w:bCs/>
                <w:color w:val="000000" w:themeColor="text1"/>
                <w:lang w:eastAsia="zh-CN"/>
              </w:rPr>
              <w:t>2-4: Whether there are valid scenarios to keep CA in Cell DTX/DRX</w:t>
            </w:r>
          </w:p>
          <w:p w14:paraId="5B672F69" w14:textId="77777777" w:rsidR="00D45BDE" w:rsidRPr="004C0E5F" w:rsidRDefault="00D45BDE" w:rsidP="00D45BDE">
            <w:pPr>
              <w:pStyle w:val="ListParagraph"/>
              <w:numPr>
                <w:ilvl w:val="0"/>
                <w:numId w:val="19"/>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 xml:space="preserve">UE </w:t>
            </w:r>
            <w:proofErr w:type="spellStart"/>
            <w:r w:rsidRPr="004C0E5F">
              <w:rPr>
                <w:bCs/>
                <w:color w:val="000000" w:themeColor="text1"/>
                <w:lang w:eastAsia="zh-CN"/>
              </w:rPr>
              <w:t>behavior</w:t>
            </w:r>
            <w:proofErr w:type="spellEnd"/>
            <w:r w:rsidRPr="004C0E5F">
              <w:rPr>
                <w:bCs/>
                <w:color w:val="000000" w:themeColor="text1"/>
                <w:lang w:eastAsia="zh-CN"/>
              </w:rPr>
              <w:t>:</w:t>
            </w:r>
          </w:p>
          <w:p w14:paraId="2092C2B0" w14:textId="77777777" w:rsidR="00D45BDE" w:rsidRPr="004C0E5F" w:rsidRDefault="00D45BDE" w:rsidP="00D45BDE">
            <w:pPr>
              <w:pStyle w:val="ListParagraph"/>
              <w:ind w:left="360"/>
              <w:rPr>
                <w:bCs/>
                <w:color w:val="000000" w:themeColor="text1"/>
                <w:lang w:eastAsia="zh-CN"/>
              </w:rPr>
            </w:pPr>
            <w:r w:rsidRPr="004C0E5F">
              <w:rPr>
                <w:bCs/>
                <w:color w:val="000000" w:themeColor="text1"/>
                <w:lang w:eastAsia="zh-CN"/>
              </w:rPr>
              <w:t>3-1: Whether legacy UEs can access cells with DTX mode</w:t>
            </w:r>
          </w:p>
          <w:p w14:paraId="394390DC" w14:textId="77777777" w:rsidR="00D45BDE" w:rsidRPr="004C0E5F" w:rsidRDefault="00D45BDE" w:rsidP="00D45BDE">
            <w:pPr>
              <w:pStyle w:val="ListParagraph"/>
              <w:ind w:left="360"/>
              <w:rPr>
                <w:bCs/>
                <w:color w:val="000000" w:themeColor="text1"/>
                <w:lang w:eastAsia="zh-CN"/>
              </w:rPr>
            </w:pPr>
            <w:r w:rsidRPr="004C0E5F">
              <w:rPr>
                <w:bCs/>
                <w:color w:val="000000" w:themeColor="text1"/>
                <w:lang w:eastAsia="zh-CN"/>
              </w:rPr>
              <w:t>3-2: For each of the 4 examples in the TR:</w:t>
            </w:r>
          </w:p>
          <w:p w14:paraId="7019273A"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From gNB side, which information needs to be transmitted and potential benefits for energy saving</w:t>
            </w:r>
          </w:p>
          <w:p w14:paraId="1002DE13" w14:textId="77777777" w:rsidR="00D45BDE" w:rsidRPr="004C0E5F" w:rsidRDefault="00D45BDE" w:rsidP="00D45BDE">
            <w:pPr>
              <w:pStyle w:val="ListParagraph"/>
              <w:numPr>
                <w:ilvl w:val="0"/>
                <w:numId w:val="18"/>
              </w:numPr>
              <w:overflowPunct w:val="0"/>
              <w:autoSpaceDE w:val="0"/>
              <w:autoSpaceDN w:val="0"/>
              <w:adjustRightInd w:val="0"/>
              <w:contextualSpacing w:val="0"/>
              <w:textAlignment w:val="baseline"/>
              <w:rPr>
                <w:bCs/>
                <w:color w:val="000000" w:themeColor="text1"/>
                <w:lang w:eastAsia="zh-CN"/>
              </w:rPr>
            </w:pPr>
            <w:r w:rsidRPr="004C0E5F">
              <w:rPr>
                <w:bCs/>
                <w:color w:val="000000" w:themeColor="text1"/>
                <w:lang w:eastAsia="zh-CN"/>
              </w:rPr>
              <w:t>From UE side, the behaviour like which information needs to be received, monitoring etc., performance impact compared with normal access</w:t>
            </w:r>
          </w:p>
          <w:p w14:paraId="590E3812" w14:textId="77777777" w:rsidR="00D45BDE" w:rsidRPr="004C0E5F" w:rsidRDefault="00D45BDE" w:rsidP="00D45BDE">
            <w:pPr>
              <w:pStyle w:val="ListParagraph"/>
              <w:numPr>
                <w:ilvl w:val="0"/>
                <w:numId w:val="19"/>
              </w:numPr>
              <w:overflowPunct w:val="0"/>
              <w:autoSpaceDE w:val="0"/>
              <w:autoSpaceDN w:val="0"/>
              <w:adjustRightInd w:val="0"/>
              <w:contextualSpacing w:val="0"/>
              <w:textAlignment w:val="baseline"/>
              <w:rPr>
                <w:bCs/>
                <w:color w:val="000000" w:themeColor="text1"/>
                <w:lang w:eastAsia="zh-CN"/>
              </w:rPr>
            </w:pPr>
            <w:r w:rsidRPr="004C0E5F">
              <w:rPr>
                <w:rFonts w:hint="eastAsia"/>
                <w:bCs/>
                <w:color w:val="000000" w:themeColor="text1"/>
                <w:lang w:eastAsia="zh-CN"/>
              </w:rPr>
              <w:t>A</w:t>
            </w:r>
            <w:r w:rsidRPr="004C0E5F">
              <w:rPr>
                <w:bCs/>
                <w:color w:val="000000" w:themeColor="text1"/>
                <w:lang w:eastAsia="zh-CN"/>
              </w:rPr>
              <w:t>lignment</w:t>
            </w:r>
            <w:r w:rsidRPr="004C0E5F">
              <w:rPr>
                <w:rFonts w:hint="eastAsia"/>
                <w:bCs/>
                <w:color w:val="000000" w:themeColor="text1"/>
                <w:lang w:eastAsia="zh-CN"/>
              </w:rPr>
              <w:t>:</w:t>
            </w:r>
          </w:p>
          <w:p w14:paraId="1189FB16" w14:textId="77777777" w:rsidR="00D45BDE" w:rsidRPr="004C0E5F" w:rsidRDefault="00D45BDE" w:rsidP="00D45BDE">
            <w:pPr>
              <w:pStyle w:val="ListParagraph"/>
              <w:ind w:left="360"/>
              <w:rPr>
                <w:bCs/>
                <w:color w:val="000000" w:themeColor="text1"/>
                <w:lang w:eastAsia="zh-CN"/>
              </w:rPr>
            </w:pPr>
            <w:r w:rsidRPr="004C0E5F">
              <w:rPr>
                <w:bCs/>
                <w:color w:val="000000" w:themeColor="text1"/>
                <w:lang w:eastAsia="zh-CN"/>
              </w:rPr>
              <w:t xml:space="preserve">4-1: Whether/how to align UE DRX with network DTX, including UE transmission/reception </w:t>
            </w:r>
            <w:proofErr w:type="spellStart"/>
            <w:r w:rsidRPr="004C0E5F">
              <w:rPr>
                <w:bCs/>
                <w:color w:val="000000" w:themeColor="text1"/>
                <w:lang w:eastAsia="zh-CN"/>
              </w:rPr>
              <w:t>behavior</w:t>
            </w:r>
            <w:proofErr w:type="spellEnd"/>
            <w:r w:rsidRPr="004C0E5F">
              <w:rPr>
                <w:bCs/>
                <w:color w:val="000000" w:themeColor="text1"/>
                <w:lang w:eastAsia="zh-CN"/>
              </w:rPr>
              <w:t xml:space="preserve"> during DTX</w:t>
            </w:r>
          </w:p>
          <w:p w14:paraId="38F5DE43" w14:textId="36AAA6EA" w:rsidR="00D45BDE" w:rsidRPr="00D45BDE" w:rsidRDefault="00D45BDE" w:rsidP="00D45BDE">
            <w:pPr>
              <w:pStyle w:val="ListParagraph"/>
              <w:ind w:left="360"/>
              <w:rPr>
                <w:b/>
                <w:lang w:eastAsia="zh-CN"/>
              </w:rPr>
            </w:pPr>
            <w:r w:rsidRPr="004C0E5F">
              <w:rPr>
                <w:bCs/>
                <w:color w:val="000000" w:themeColor="text1"/>
                <w:lang w:eastAsia="zh-CN"/>
              </w:rPr>
              <w:t>4-2: Whether/how to align DRX alignment among multiple UEs</w:t>
            </w:r>
          </w:p>
        </w:tc>
      </w:tr>
    </w:tbl>
    <w:p w14:paraId="76CFA1D6" w14:textId="1680831C" w:rsidR="00CE31FE" w:rsidRDefault="00CE31FE" w:rsidP="005B6108">
      <w:pPr>
        <w:spacing w:after="0"/>
      </w:pPr>
    </w:p>
    <w:p w14:paraId="79DB96F5" w14:textId="37FD9B8C" w:rsidR="00AA5F77" w:rsidRDefault="00AA5F77" w:rsidP="00CD4C7B">
      <w:pPr>
        <w:pStyle w:val="Heading1"/>
      </w:pPr>
      <w:r>
        <w:t>3</w:t>
      </w:r>
      <w:r>
        <w:tab/>
        <w:t>Separate vs Joint DTX/DRX configuration</w:t>
      </w:r>
    </w:p>
    <w:p w14:paraId="174523A0" w14:textId="088B9593" w:rsidR="00FA56B1" w:rsidRDefault="00FA56B1" w:rsidP="00FA56B1">
      <w:r>
        <w:t xml:space="preserve">One important open issue in </w:t>
      </w:r>
      <w:r w:rsidR="005A3165">
        <w:t>Cell</w:t>
      </w:r>
      <w:r>
        <w:t xml:space="preserve"> DTX/DRX is to identify whether </w:t>
      </w:r>
      <w:r w:rsidR="00720431">
        <w:t xml:space="preserve">a </w:t>
      </w:r>
      <w:r w:rsidR="005A3165">
        <w:t xml:space="preserve">cell must configure DTX and DRX jointly or can DTX and DRX be applied </w:t>
      </w:r>
      <w:r w:rsidR="00253640">
        <w:t>separately, this was reflected in the following open issue</w:t>
      </w:r>
      <w:r w:rsidR="003C0E88">
        <w:t>s</w:t>
      </w:r>
    </w:p>
    <w:tbl>
      <w:tblPr>
        <w:tblStyle w:val="TableGrid"/>
        <w:tblW w:w="0" w:type="auto"/>
        <w:tblLook w:val="04A0" w:firstRow="1" w:lastRow="0" w:firstColumn="1" w:lastColumn="0" w:noHBand="0" w:noVBand="1"/>
      </w:tblPr>
      <w:tblGrid>
        <w:gridCol w:w="9631"/>
      </w:tblGrid>
      <w:tr w:rsidR="00A6627C" w14:paraId="7D2645B4" w14:textId="77777777" w:rsidTr="00A6627C">
        <w:tc>
          <w:tcPr>
            <w:tcW w:w="9631" w:type="dxa"/>
          </w:tcPr>
          <w:p w14:paraId="404CFC6F" w14:textId="77777777" w:rsidR="00A6627C" w:rsidRPr="00D45BDE" w:rsidRDefault="00A6627C" w:rsidP="00A6627C">
            <w:pPr>
              <w:pStyle w:val="ListParagraph"/>
              <w:numPr>
                <w:ilvl w:val="0"/>
                <w:numId w:val="19"/>
              </w:numPr>
              <w:overflowPunct w:val="0"/>
              <w:autoSpaceDE w:val="0"/>
              <w:autoSpaceDN w:val="0"/>
              <w:adjustRightInd w:val="0"/>
              <w:contextualSpacing w:val="0"/>
              <w:textAlignment w:val="baseline"/>
              <w:rPr>
                <w:bCs/>
                <w:lang w:eastAsia="zh-CN"/>
              </w:rPr>
            </w:pPr>
            <w:r w:rsidRPr="00D45BDE">
              <w:rPr>
                <w:bCs/>
                <w:lang w:eastAsia="zh-CN"/>
              </w:rPr>
              <w:t>Configuration and signalling:</w:t>
            </w:r>
          </w:p>
          <w:p w14:paraId="647CF37B" w14:textId="77777777" w:rsidR="00A6627C" w:rsidRPr="00D45BDE" w:rsidRDefault="00A6627C" w:rsidP="00A6627C">
            <w:pPr>
              <w:pStyle w:val="ListParagraph"/>
              <w:ind w:left="360"/>
              <w:rPr>
                <w:bCs/>
                <w:lang w:eastAsia="zh-CN"/>
              </w:rPr>
            </w:pPr>
            <w:r w:rsidRPr="00D45BDE">
              <w:rPr>
                <w:bCs/>
                <w:lang w:eastAsia="zh-CN"/>
              </w:rPr>
              <w:t>2-3: Multiple configurations</w:t>
            </w:r>
          </w:p>
          <w:p w14:paraId="2895A8A0" w14:textId="77777777" w:rsidR="00A6627C" w:rsidRPr="00A6627C" w:rsidRDefault="00A6627C" w:rsidP="00A6627C">
            <w:pPr>
              <w:pStyle w:val="ListParagraph"/>
              <w:numPr>
                <w:ilvl w:val="0"/>
                <w:numId w:val="18"/>
              </w:numPr>
              <w:overflowPunct w:val="0"/>
              <w:autoSpaceDE w:val="0"/>
              <w:autoSpaceDN w:val="0"/>
              <w:adjustRightInd w:val="0"/>
              <w:contextualSpacing w:val="0"/>
              <w:textAlignment w:val="baseline"/>
              <w:rPr>
                <w:bCs/>
                <w:highlight w:val="yellow"/>
                <w:lang w:eastAsia="zh-CN"/>
              </w:rPr>
            </w:pPr>
            <w:r w:rsidRPr="00A6627C">
              <w:rPr>
                <w:bCs/>
                <w:highlight w:val="yellow"/>
                <w:lang w:eastAsia="zh-CN"/>
              </w:rPr>
              <w:t>Joint or separate configuration of DTX and DRX mode/operation</w:t>
            </w:r>
          </w:p>
          <w:p w14:paraId="1072CE08" w14:textId="77777777" w:rsidR="00A6627C" w:rsidRPr="00D45BDE" w:rsidRDefault="00A6627C" w:rsidP="00A6627C">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t>Whether multiple DTX/DRX configurations/modes (based on the definition of multiple configurations from above) are allowed to be configured via RRC signalling</w:t>
            </w:r>
          </w:p>
          <w:p w14:paraId="1F56BC76" w14:textId="77777777" w:rsidR="00A6627C" w:rsidRPr="00D45BDE" w:rsidRDefault="00A6627C" w:rsidP="00A6627C">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t>Whether the activation of NW DRX can be different with NW DTX</w:t>
            </w:r>
          </w:p>
          <w:p w14:paraId="1F7596C8" w14:textId="08C7239E" w:rsidR="00A6627C" w:rsidRPr="00A6627C" w:rsidRDefault="00A6627C" w:rsidP="00FA56B1">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lastRenderedPageBreak/>
              <w:t>The potential signalling impacts</w:t>
            </w:r>
          </w:p>
        </w:tc>
      </w:tr>
    </w:tbl>
    <w:p w14:paraId="6DF5E9AA" w14:textId="617436F7" w:rsidR="00A6627C" w:rsidRDefault="00B93406" w:rsidP="00FA56B1">
      <w:r>
        <w:lastRenderedPageBreak/>
        <w:t xml:space="preserve">It was argued by some companies that Cell DTX and Cell DRX should be aligned for better temporal energy gains, however, </w:t>
      </w:r>
      <w:r w:rsidR="0063460F">
        <w:t xml:space="preserve">maximum gains can come separately from cell DTX and cell DRX. </w:t>
      </w:r>
      <w:r w:rsidR="00F578C5">
        <w:t xml:space="preserve">It is also worth </w:t>
      </w:r>
      <w:r w:rsidR="0063460F">
        <w:t>not</w:t>
      </w:r>
      <w:r w:rsidR="00F578C5">
        <w:t>ing</w:t>
      </w:r>
      <w:r w:rsidR="0063460F">
        <w:t xml:space="preserve"> t</w:t>
      </w:r>
      <w:r w:rsidR="00830DE8">
        <w:t xml:space="preserve">hat the RF architecture itself can operate with only the Tx or the Rx in sleep mode, </w:t>
      </w:r>
      <w:r w:rsidR="005471F5">
        <w:t xml:space="preserve">and energy gains can still be achieved in these scenarios. </w:t>
      </w:r>
    </w:p>
    <w:p w14:paraId="478E57A3" w14:textId="097E9BAA" w:rsidR="005471F5" w:rsidRPr="00644487" w:rsidRDefault="005471F5" w:rsidP="00FA56B1">
      <w:pPr>
        <w:rPr>
          <w:b/>
          <w:bCs/>
        </w:rPr>
      </w:pPr>
      <w:r w:rsidRPr="00644487">
        <w:rPr>
          <w:b/>
          <w:bCs/>
        </w:rPr>
        <w:t xml:space="preserve">Observation 1: </w:t>
      </w:r>
      <w:r w:rsidR="004301C1" w:rsidRPr="00644487">
        <w:rPr>
          <w:b/>
          <w:bCs/>
        </w:rPr>
        <w:t xml:space="preserve">Separate Cell DTX </w:t>
      </w:r>
      <w:r w:rsidR="005C532D" w:rsidRPr="00644487">
        <w:rPr>
          <w:b/>
          <w:bCs/>
        </w:rPr>
        <w:t>and Cell DRX sleeping cycles can achieve NES gains</w:t>
      </w:r>
      <w:r w:rsidR="00663F9A" w:rsidRPr="00644487">
        <w:rPr>
          <w:b/>
          <w:bCs/>
        </w:rPr>
        <w:t xml:space="preserve"> that come from the </w:t>
      </w:r>
      <w:r w:rsidR="00941632">
        <w:rPr>
          <w:b/>
          <w:bCs/>
        </w:rPr>
        <w:t xml:space="preserve">respective </w:t>
      </w:r>
      <w:r w:rsidR="00663F9A" w:rsidRPr="00644487">
        <w:rPr>
          <w:b/>
          <w:bCs/>
        </w:rPr>
        <w:t>sleeping R</w:t>
      </w:r>
      <w:r w:rsidR="00941632">
        <w:rPr>
          <w:b/>
          <w:bCs/>
        </w:rPr>
        <w:t>F</w:t>
      </w:r>
      <w:r w:rsidR="00663F9A" w:rsidRPr="00644487">
        <w:rPr>
          <w:b/>
          <w:bCs/>
        </w:rPr>
        <w:t xml:space="preserve"> components, i.e., no technical </w:t>
      </w:r>
      <w:r w:rsidR="006E472C" w:rsidRPr="00644487">
        <w:rPr>
          <w:b/>
          <w:bCs/>
        </w:rPr>
        <w:t xml:space="preserve">reason to mandate joint DTX/DRX cycles. </w:t>
      </w:r>
    </w:p>
    <w:p w14:paraId="6ADBD020" w14:textId="3640DCAA" w:rsidR="006E472C" w:rsidRDefault="008016F1" w:rsidP="00FA56B1">
      <w:r>
        <w:t>I</w:t>
      </w:r>
      <w:r w:rsidR="002F6B8C">
        <w:t xml:space="preserve">t is the case for many scenarios that DL and UL traffic differ in quantity, needs and sleeping opportunities. Configuring joint cell DTX and DRX </w:t>
      </w:r>
      <w:r w:rsidR="00154849">
        <w:t xml:space="preserve">would mandate the network force conservative cycles so as to not to compromise either UL or DL QoS, thus, </w:t>
      </w:r>
      <w:r>
        <w:t>for that reason</w:t>
      </w:r>
      <w:r w:rsidR="00154849">
        <w:t xml:space="preserve"> NW DTX and DRX </w:t>
      </w:r>
      <w:r w:rsidR="00870D94">
        <w:t xml:space="preserve">can </w:t>
      </w:r>
      <w:r w:rsidR="00154849">
        <w:t>be kept separate.</w:t>
      </w:r>
      <w:r>
        <w:t xml:space="preserve"> On the other hand, aligning DTX and DRX can simplify the signalling and transitioning between NES states</w:t>
      </w:r>
      <w:r w:rsidR="005E0D5C">
        <w:t xml:space="preserve">. Furthermore, it has been the implication in RAN1 ongoing discussions that cell DTX and cell DRX are jointly configured and activated. </w:t>
      </w:r>
      <w:r>
        <w:t xml:space="preserve"> </w:t>
      </w:r>
    </w:p>
    <w:p w14:paraId="6F642330" w14:textId="7F05E694" w:rsidR="007D618F" w:rsidRDefault="007D618F" w:rsidP="00FA56B1">
      <w:pPr>
        <w:rPr>
          <w:b/>
          <w:bCs/>
        </w:rPr>
      </w:pPr>
      <w:r w:rsidRPr="00644487">
        <w:rPr>
          <w:b/>
          <w:bCs/>
        </w:rPr>
        <w:t xml:space="preserve">Proposal 1: </w:t>
      </w:r>
      <w:r w:rsidR="005C50FF" w:rsidRPr="00644487">
        <w:rPr>
          <w:b/>
          <w:bCs/>
        </w:rPr>
        <w:t xml:space="preserve">RAN2 confirms </w:t>
      </w:r>
      <w:r w:rsidR="005E0D5C">
        <w:rPr>
          <w:b/>
          <w:bCs/>
        </w:rPr>
        <w:t>wh</w:t>
      </w:r>
      <w:r w:rsidR="00AD08DE">
        <w:rPr>
          <w:b/>
          <w:bCs/>
        </w:rPr>
        <w:t>ich of those options apply:</w:t>
      </w:r>
    </w:p>
    <w:p w14:paraId="206BBD05" w14:textId="43A1A19E" w:rsidR="00AD08DE" w:rsidRDefault="00AD08DE" w:rsidP="00AD08DE">
      <w:pPr>
        <w:pStyle w:val="ListParagraph"/>
        <w:numPr>
          <w:ilvl w:val="0"/>
          <w:numId w:val="21"/>
        </w:numPr>
        <w:rPr>
          <w:b/>
          <w:bCs/>
        </w:rPr>
      </w:pPr>
      <w:r>
        <w:rPr>
          <w:b/>
          <w:bCs/>
        </w:rPr>
        <w:t>Joint DTX/DRX operation</w:t>
      </w:r>
      <w:r w:rsidR="00267147">
        <w:rPr>
          <w:b/>
          <w:bCs/>
        </w:rPr>
        <w:t xml:space="preserve"> is mandatory</w:t>
      </w:r>
    </w:p>
    <w:p w14:paraId="425FB356" w14:textId="69D268B6" w:rsidR="00AD08DE" w:rsidRPr="00AD08DE" w:rsidRDefault="00AD08DE" w:rsidP="00AD08DE">
      <w:pPr>
        <w:pStyle w:val="ListParagraph"/>
        <w:numPr>
          <w:ilvl w:val="0"/>
          <w:numId w:val="21"/>
        </w:numPr>
        <w:rPr>
          <w:b/>
          <w:bCs/>
        </w:rPr>
      </w:pPr>
      <w:r>
        <w:rPr>
          <w:b/>
          <w:bCs/>
        </w:rPr>
        <w:t>Separate DTX/DRX operation</w:t>
      </w:r>
      <w:r w:rsidR="00267147">
        <w:rPr>
          <w:b/>
          <w:bCs/>
        </w:rPr>
        <w:t xml:space="preserve"> is allowed</w:t>
      </w:r>
    </w:p>
    <w:p w14:paraId="48A4DBC6" w14:textId="45987AD3" w:rsidR="005C50FF" w:rsidRDefault="005C50FF" w:rsidP="00FA56B1">
      <w:r>
        <w:t>We also note that Cell DTX saves more network energy since transmission consumes more energy th</w:t>
      </w:r>
      <w:r w:rsidR="00870D94">
        <w:t>a</w:t>
      </w:r>
      <w:r>
        <w:t xml:space="preserve">n occasional </w:t>
      </w:r>
      <w:r w:rsidR="00644487">
        <w:t xml:space="preserve">unnecessary blind decodes, thus, it is recommended that RAN2 prioritizes cell DTX as an NES target. </w:t>
      </w:r>
    </w:p>
    <w:p w14:paraId="2502A661" w14:textId="10746D7C" w:rsidR="00644487" w:rsidRPr="00644487" w:rsidRDefault="00644487" w:rsidP="00FA56B1">
      <w:pPr>
        <w:rPr>
          <w:b/>
          <w:bCs/>
        </w:rPr>
      </w:pPr>
      <w:r w:rsidRPr="00644487">
        <w:rPr>
          <w:b/>
          <w:bCs/>
        </w:rPr>
        <w:t>Proposal 2: Cell DTX</w:t>
      </w:r>
      <w:r w:rsidR="008107B2">
        <w:rPr>
          <w:b/>
          <w:bCs/>
        </w:rPr>
        <w:t>/DRX</w:t>
      </w:r>
      <w:r w:rsidRPr="00644487">
        <w:rPr>
          <w:b/>
          <w:bCs/>
        </w:rPr>
        <w:t xml:space="preserve"> is prioritize</w:t>
      </w:r>
      <w:r>
        <w:rPr>
          <w:b/>
          <w:bCs/>
        </w:rPr>
        <w:t>d</w:t>
      </w:r>
      <w:r w:rsidRPr="00644487">
        <w:rPr>
          <w:b/>
          <w:bCs/>
        </w:rPr>
        <w:t xml:space="preserve"> as a</w:t>
      </w:r>
      <w:r w:rsidR="005F5119">
        <w:rPr>
          <w:b/>
          <w:bCs/>
        </w:rPr>
        <w:t xml:space="preserve">n </w:t>
      </w:r>
      <w:r w:rsidR="0041503B">
        <w:rPr>
          <w:b/>
          <w:bCs/>
        </w:rPr>
        <w:t>NES technique.</w:t>
      </w:r>
    </w:p>
    <w:p w14:paraId="68AF9242" w14:textId="17B9F022" w:rsidR="00CD4C7B" w:rsidRDefault="00AA5F77" w:rsidP="00CD4C7B">
      <w:pPr>
        <w:pStyle w:val="Heading1"/>
      </w:pPr>
      <w:r>
        <w:t>4</w:t>
      </w:r>
      <w:r>
        <w:tab/>
      </w:r>
      <w:r w:rsidR="00644487">
        <w:t>Cell DTX</w:t>
      </w:r>
    </w:p>
    <w:p w14:paraId="533DFE86" w14:textId="5E836936" w:rsidR="005F5119" w:rsidRDefault="005F5119" w:rsidP="005F5119">
      <w:r>
        <w:t>The first issue that needs discussion in cell DTX is what it implies, i.e., what signals does the gNB not transmit during the DTX period</w:t>
      </w:r>
      <w:r w:rsidR="00E934E3">
        <w:t>. We note that the following examples were proposed in [2]</w:t>
      </w:r>
    </w:p>
    <w:p w14:paraId="219C30DD" w14:textId="77777777" w:rsidR="00E934E3" w:rsidRDefault="00E934E3" w:rsidP="00E934E3">
      <w:pPr>
        <w:pStyle w:val="Doc-text2"/>
        <w:pBdr>
          <w:top w:val="single" w:sz="4" w:space="1" w:color="auto"/>
          <w:left w:val="single" w:sz="4" w:space="1" w:color="auto"/>
          <w:bottom w:val="single" w:sz="4" w:space="1" w:color="auto"/>
          <w:right w:val="single" w:sz="4" w:space="1" w:color="auto"/>
        </w:pBdr>
      </w:pPr>
      <w:r>
        <w:t>•</w:t>
      </w:r>
      <w:r>
        <w:tab/>
        <w:t>Example 1: gNB is expected to turn off all transmission and reception for data traffic and reference signal during Cell DTX / DRX OFF duration.</w:t>
      </w:r>
    </w:p>
    <w:p w14:paraId="000B4EA7" w14:textId="77777777" w:rsidR="00E934E3" w:rsidRDefault="00E934E3" w:rsidP="00E934E3">
      <w:pPr>
        <w:pStyle w:val="Doc-text2"/>
        <w:pBdr>
          <w:top w:val="single" w:sz="4" w:space="1" w:color="auto"/>
          <w:left w:val="single" w:sz="4" w:space="1" w:color="auto"/>
          <w:bottom w:val="single" w:sz="4" w:space="1" w:color="auto"/>
          <w:right w:val="single" w:sz="4" w:space="1" w:color="auto"/>
        </w:pBdr>
      </w:pPr>
      <w:r>
        <w:t>•</w:t>
      </w:r>
      <w:r>
        <w:tab/>
        <w:t>Example 2: gNB is expected to turn off its transmission / reception only for data traffic during Cell DTX / DRX OFF duration (i.e. gNB will still transmit / receive reference signals).</w:t>
      </w:r>
    </w:p>
    <w:p w14:paraId="4CD51144" w14:textId="77777777" w:rsidR="00E934E3" w:rsidRDefault="00E934E3" w:rsidP="00E934E3">
      <w:pPr>
        <w:pStyle w:val="Doc-text2"/>
        <w:pBdr>
          <w:top w:val="single" w:sz="4" w:space="1" w:color="auto"/>
          <w:left w:val="single" w:sz="4" w:space="1" w:color="auto"/>
          <w:bottom w:val="single" w:sz="4" w:space="1" w:color="auto"/>
          <w:right w:val="single" w:sz="4" w:space="1" w:color="auto"/>
        </w:pBdr>
      </w:pPr>
      <w:r>
        <w:t>•</w:t>
      </w:r>
      <w:r>
        <w:tab/>
        <w:t>Example 3: gNB is expected to turn off its dynamic transmission / reception during Cell DTX / DRX OFF duration (i.e. gNB is expected to still perform periodic transmission / reception, including SPS, CG-PUSCH, SR, RACH, and SRS).</w:t>
      </w:r>
    </w:p>
    <w:p w14:paraId="25044B2D" w14:textId="77777777" w:rsidR="00E934E3" w:rsidRPr="00837A29" w:rsidRDefault="00E934E3" w:rsidP="00E934E3">
      <w:pPr>
        <w:pStyle w:val="Doc-text2"/>
        <w:pBdr>
          <w:top w:val="single" w:sz="4" w:space="1" w:color="auto"/>
          <w:left w:val="single" w:sz="4" w:space="1" w:color="auto"/>
          <w:bottom w:val="single" w:sz="4" w:space="1" w:color="auto"/>
          <w:right w:val="single" w:sz="4" w:space="1" w:color="auto"/>
        </w:pBdr>
      </w:pPr>
      <w:r>
        <w:t>•</w:t>
      </w:r>
      <w:r>
        <w:tab/>
        <w:t>Example 4: gNB is expected to only transmit reference signals (e.g. CSI-RS for measurement).</w:t>
      </w:r>
    </w:p>
    <w:p w14:paraId="30C4CCEC" w14:textId="77777777" w:rsidR="00E934E3" w:rsidRPr="0014797E" w:rsidRDefault="00E934E3" w:rsidP="00E934E3">
      <w:pPr>
        <w:pStyle w:val="Doc-text2"/>
        <w:pBdr>
          <w:top w:val="single" w:sz="4" w:space="1" w:color="auto"/>
          <w:left w:val="single" w:sz="4" w:space="1" w:color="auto"/>
          <w:bottom w:val="single" w:sz="4" w:space="1" w:color="auto"/>
          <w:right w:val="single" w:sz="4" w:space="1" w:color="auto"/>
        </w:pBdr>
        <w:rPr>
          <w:b/>
          <w:bCs/>
        </w:rPr>
      </w:pPr>
      <w:r w:rsidRPr="0014797E">
        <w:rPr>
          <w:b/>
          <w:bCs/>
        </w:rPr>
        <w:t>=&gt;</w:t>
      </w:r>
      <w:r w:rsidRPr="0014797E">
        <w:rPr>
          <w:b/>
          <w:bCs/>
        </w:rPr>
        <w:tab/>
        <w:t xml:space="preserve">RAN2 assumes that the options above are possible for gNB DTX/DRX </w:t>
      </w:r>
      <w:proofErr w:type="spellStart"/>
      <w:r w:rsidRPr="0014797E">
        <w:rPr>
          <w:b/>
          <w:bCs/>
        </w:rPr>
        <w:t>behavior</w:t>
      </w:r>
      <w:proofErr w:type="spellEnd"/>
      <w:r w:rsidRPr="0014797E">
        <w:rPr>
          <w:b/>
          <w:bCs/>
        </w:rPr>
        <w:t xml:space="preserve"> and discuss UE RAN2 </w:t>
      </w:r>
      <w:proofErr w:type="spellStart"/>
      <w:r w:rsidRPr="0014797E">
        <w:rPr>
          <w:b/>
          <w:bCs/>
        </w:rPr>
        <w:t>behavior</w:t>
      </w:r>
      <w:proofErr w:type="spellEnd"/>
      <w:r w:rsidRPr="0014797E">
        <w:rPr>
          <w:b/>
          <w:bCs/>
        </w:rPr>
        <w:t xml:space="preserve">/impact during the DTX/DRX. </w:t>
      </w:r>
    </w:p>
    <w:p w14:paraId="0A1DBD44" w14:textId="25FE0F95" w:rsidR="00284439" w:rsidRDefault="00284439" w:rsidP="00E41E67"/>
    <w:p w14:paraId="1EA893EF" w14:textId="767D5C37" w:rsidR="00422461" w:rsidRDefault="00422461" w:rsidP="00E41E67">
      <w:r>
        <w:t>Focusing on what the gNB can transmit during the cell DTX period, we approach this through the following questions:</w:t>
      </w:r>
    </w:p>
    <w:p w14:paraId="423B8294" w14:textId="5C995E82" w:rsidR="00284439" w:rsidRDefault="00FB5972" w:rsidP="00284439">
      <w:pPr>
        <w:pStyle w:val="ListParagraph"/>
        <w:numPr>
          <w:ilvl w:val="0"/>
          <w:numId w:val="20"/>
        </w:numPr>
      </w:pPr>
      <w:r>
        <w:t>Which UEs does the Cell DTX apply to?</w:t>
      </w:r>
    </w:p>
    <w:p w14:paraId="02CB8316" w14:textId="0A8368FC" w:rsidR="00FB5972" w:rsidRDefault="00B42C34" w:rsidP="00FB5972">
      <w:r>
        <w:t xml:space="preserve">In our view, cell DTX is one of the candidate techniques </w:t>
      </w:r>
      <w:r w:rsidR="00BC27D7">
        <w:t xml:space="preserve">that can be applied to </w:t>
      </w:r>
      <w:r w:rsidR="009E1963">
        <w:t xml:space="preserve">legacy and NES-capable UEs alike. For </w:t>
      </w:r>
      <w:r w:rsidR="00406B77">
        <w:t xml:space="preserve">this to apply, </w:t>
      </w:r>
      <w:r w:rsidR="00BA0D19">
        <w:t xml:space="preserve">legacy UEs must be in </w:t>
      </w:r>
      <w:r w:rsidR="00382734">
        <w:t xml:space="preserve">RRC </w:t>
      </w:r>
      <w:r w:rsidR="00BA0D19">
        <w:t>connected</w:t>
      </w:r>
      <w:r w:rsidR="00382734">
        <w:t xml:space="preserve"> mode</w:t>
      </w:r>
      <w:r w:rsidR="00BA0D19">
        <w:t xml:space="preserve"> with a C-DRX cycle aligned with cell DTX.</w:t>
      </w:r>
      <w:r w:rsidR="00382734">
        <w:t xml:space="preserve"> Recall that this is consistent with last meeting’s agreement:</w:t>
      </w:r>
    </w:p>
    <w:p w14:paraId="1363FB74" w14:textId="08618A49" w:rsidR="00C62F27" w:rsidRDefault="00382734" w:rsidP="00C62F27">
      <w:pPr>
        <w:pStyle w:val="Doc-text2"/>
        <w:pBdr>
          <w:top w:val="single" w:sz="4" w:space="1" w:color="auto"/>
          <w:left w:val="single" w:sz="4" w:space="1" w:color="auto"/>
          <w:bottom w:val="single" w:sz="4" w:space="1" w:color="auto"/>
          <w:right w:val="single" w:sz="4" w:space="1" w:color="auto"/>
        </w:pBdr>
      </w:pPr>
      <w:r>
        <w:t>=&gt;</w:t>
      </w:r>
      <w:r>
        <w:tab/>
        <w:t xml:space="preserve">Let’s start with understanding solution in the context of connected </w:t>
      </w:r>
    </w:p>
    <w:p w14:paraId="126DC377" w14:textId="25589E40" w:rsidR="00C62F27" w:rsidRPr="003D7C68" w:rsidRDefault="00C62F27" w:rsidP="00FB5972">
      <w:pPr>
        <w:rPr>
          <w:b/>
          <w:bCs/>
        </w:rPr>
      </w:pPr>
      <w:r w:rsidRPr="003D7C68">
        <w:rPr>
          <w:b/>
          <w:bCs/>
        </w:rPr>
        <w:t>Proposal 3: Cell</w:t>
      </w:r>
      <w:r w:rsidR="003D7C68" w:rsidRPr="003D7C68">
        <w:rPr>
          <w:b/>
          <w:bCs/>
        </w:rPr>
        <w:t xml:space="preserve"> DTX applies to RRC connected UEs only</w:t>
      </w:r>
      <w:r w:rsidR="00DC4E2C">
        <w:rPr>
          <w:b/>
          <w:bCs/>
        </w:rPr>
        <w:t>.</w:t>
      </w:r>
    </w:p>
    <w:p w14:paraId="45FB48D0" w14:textId="144FD152" w:rsidR="00C62F27" w:rsidRPr="003D7C68" w:rsidRDefault="00B77ABD" w:rsidP="00FB5972">
      <w:pPr>
        <w:rPr>
          <w:b/>
          <w:bCs/>
        </w:rPr>
      </w:pPr>
      <w:r w:rsidRPr="003D7C68">
        <w:rPr>
          <w:b/>
          <w:bCs/>
        </w:rPr>
        <w:t xml:space="preserve">Proposal </w:t>
      </w:r>
      <w:r w:rsidR="003D7C68" w:rsidRPr="003D7C68">
        <w:rPr>
          <w:b/>
          <w:bCs/>
        </w:rPr>
        <w:t>4</w:t>
      </w:r>
      <w:r w:rsidRPr="003D7C68">
        <w:rPr>
          <w:b/>
          <w:bCs/>
        </w:rPr>
        <w:t>:</w:t>
      </w:r>
      <w:r w:rsidR="005E124F" w:rsidRPr="003D7C68">
        <w:rPr>
          <w:b/>
          <w:bCs/>
        </w:rPr>
        <w:t xml:space="preserve"> Cell DTX </w:t>
      </w:r>
      <w:r w:rsidRPr="003D7C68">
        <w:rPr>
          <w:b/>
          <w:bCs/>
        </w:rPr>
        <w:t>should</w:t>
      </w:r>
      <w:r w:rsidR="005E124F" w:rsidRPr="003D7C68">
        <w:rPr>
          <w:b/>
          <w:bCs/>
        </w:rPr>
        <w:t xml:space="preserve"> apply to legacy and NES-capable UE</w:t>
      </w:r>
      <w:r w:rsidRPr="003D7C68">
        <w:rPr>
          <w:b/>
          <w:bCs/>
        </w:rPr>
        <w:t>s</w:t>
      </w:r>
      <w:r w:rsidR="005E124F" w:rsidRPr="003D7C68">
        <w:rPr>
          <w:b/>
          <w:bCs/>
        </w:rPr>
        <w:t xml:space="preserve"> alike</w:t>
      </w:r>
      <w:r w:rsidRPr="003D7C68">
        <w:rPr>
          <w:b/>
          <w:bCs/>
        </w:rPr>
        <w:t xml:space="preserve"> to maximize NES gains and keep deployment scenarios general. </w:t>
      </w:r>
    </w:p>
    <w:p w14:paraId="6A90D0F6" w14:textId="77777777" w:rsidR="00C62F27" w:rsidRDefault="00C62F27" w:rsidP="00C62F27">
      <w:pPr>
        <w:pStyle w:val="ListParagraph"/>
        <w:numPr>
          <w:ilvl w:val="0"/>
          <w:numId w:val="20"/>
        </w:numPr>
      </w:pPr>
      <w:r>
        <w:t>What should gNB transmit during cell DTX?</w:t>
      </w:r>
    </w:p>
    <w:p w14:paraId="3E697B66" w14:textId="3EDD1DCB" w:rsidR="005E124F" w:rsidRDefault="0069354B" w:rsidP="003D7C68">
      <w:r>
        <w:lastRenderedPageBreak/>
        <w:t>To follow-up</w:t>
      </w:r>
      <w:r w:rsidR="00D17C95">
        <w:t xml:space="preserve"> on the past question and accommodate </w:t>
      </w:r>
      <w:r w:rsidR="00B37227">
        <w:t xml:space="preserve">legacy UEs, the gNB should not skip reference signals especially SSB during </w:t>
      </w:r>
      <w:r w:rsidR="009B2310">
        <w:t xml:space="preserve">cycling in and out of </w:t>
      </w:r>
      <w:r w:rsidR="00B37227">
        <w:t xml:space="preserve">Cell DTX </w:t>
      </w:r>
      <w:r w:rsidR="003B343E">
        <w:t>OFF</w:t>
      </w:r>
      <w:r w:rsidR="000F5AB4">
        <w:t xml:space="preserve"> duration/non-active period (we use those terms interchangeably since they were referred to differently in meeting agreements and TR)</w:t>
      </w:r>
      <w:r w:rsidR="004B2030">
        <w:t xml:space="preserve">. </w:t>
      </w:r>
    </w:p>
    <w:p w14:paraId="1A3035AC" w14:textId="77777777" w:rsidR="00D462B7" w:rsidRPr="00C7162C" w:rsidRDefault="004B2030" w:rsidP="003D7C68">
      <w:pPr>
        <w:rPr>
          <w:b/>
          <w:bCs/>
        </w:rPr>
      </w:pPr>
      <w:r w:rsidRPr="00C7162C">
        <w:rPr>
          <w:b/>
          <w:bCs/>
        </w:rPr>
        <w:t xml:space="preserve">Observation 2: Skipping SSB during Cell DTX nonactive period </w:t>
      </w:r>
      <w:r w:rsidR="00D462B7" w:rsidRPr="00C7162C">
        <w:rPr>
          <w:b/>
          <w:bCs/>
        </w:rPr>
        <w:t>means that legacy UEs cannot reliably access the cell and likely means having to bar legacy altogether which reduces NES gains.</w:t>
      </w:r>
    </w:p>
    <w:p w14:paraId="5155EF53" w14:textId="27CD0304" w:rsidR="004B2030" w:rsidRDefault="00D462B7" w:rsidP="003D7C68">
      <w:r>
        <w:t xml:space="preserve">Furthermore, we note that the agreement below, has mandated that </w:t>
      </w:r>
      <w:r w:rsidR="00F02EB6">
        <w:t xml:space="preserve">RAN2 consider SSB-less solution in the context of multicarrier, since we think Cell-DTX is orthogonal to multicarrier </w:t>
      </w:r>
      <w:r w:rsidR="002C0C03">
        <w:t>NES savings</w:t>
      </w:r>
      <w:r w:rsidR="00C865A4">
        <w:t xml:space="preserve"> or reduced/variable SSB periodicity</w:t>
      </w:r>
      <w:r w:rsidR="002C0C03">
        <w:t xml:space="preserve">, this gives another reason to not skip SSB during </w:t>
      </w:r>
      <w:r w:rsidR="00C865A4">
        <w:t xml:space="preserve">cycling into and out </w:t>
      </w:r>
      <w:r w:rsidR="00BA59B4">
        <w:t>Cell DTX inactive period</w:t>
      </w:r>
      <w:r w:rsidR="008E15B7">
        <w:t>:</w:t>
      </w:r>
    </w:p>
    <w:p w14:paraId="73E5EFF5" w14:textId="77777777" w:rsidR="00F02EB6" w:rsidRDefault="00F02EB6" w:rsidP="00F02EB6">
      <w:pPr>
        <w:pStyle w:val="Doc-text2"/>
        <w:numPr>
          <w:ilvl w:val="0"/>
          <w:numId w:val="22"/>
        </w:numPr>
        <w:pBdr>
          <w:top w:val="single" w:sz="4" w:space="1" w:color="auto"/>
          <w:left w:val="single" w:sz="4" w:space="4" w:color="auto"/>
          <w:bottom w:val="single" w:sz="4" w:space="1" w:color="auto"/>
          <w:right w:val="single" w:sz="4" w:space="4" w:color="auto"/>
        </w:pBdr>
      </w:pPr>
      <w:r w:rsidRPr="00492016">
        <w:t>For SSB/SIB-less solution, RAN2 starts with multi-carrier case</w:t>
      </w:r>
    </w:p>
    <w:p w14:paraId="57338410" w14:textId="77777777" w:rsidR="00F02EB6" w:rsidRDefault="00F02EB6" w:rsidP="00F02EB6">
      <w:pPr>
        <w:pStyle w:val="Doc-text2"/>
        <w:numPr>
          <w:ilvl w:val="0"/>
          <w:numId w:val="22"/>
        </w:numPr>
        <w:pBdr>
          <w:top w:val="single" w:sz="4" w:space="1" w:color="auto"/>
          <w:left w:val="single" w:sz="4" w:space="4" w:color="auto"/>
          <w:bottom w:val="single" w:sz="4" w:space="1" w:color="auto"/>
          <w:right w:val="single" w:sz="4" w:space="4" w:color="auto"/>
        </w:pBdr>
      </w:pPr>
      <w:r>
        <w:t>RAN2 assumes that the</w:t>
      </w:r>
      <w:r w:rsidRPr="001A4700">
        <w:t xml:space="preserve"> SSB-less solution</w:t>
      </w:r>
      <w:r>
        <w:t xml:space="preserve"> for inter-band CA in connected mode we can consider to use the</w:t>
      </w:r>
      <w:r w:rsidRPr="001A4700">
        <w:t xml:space="preserve"> intra-band </w:t>
      </w:r>
      <w:r>
        <w:t xml:space="preserve">CA </w:t>
      </w:r>
      <w:r w:rsidRPr="001A4700">
        <w:t>mechanism as a baseline/starting point. FFS whether there are other impacts for RAN2 according to other WGs discussion</w:t>
      </w:r>
    </w:p>
    <w:p w14:paraId="484722D6" w14:textId="7EF966ED" w:rsidR="008E15B7" w:rsidRDefault="008E15B7" w:rsidP="003D7C68"/>
    <w:p w14:paraId="40EE84F7" w14:textId="6FAB2B32" w:rsidR="00C865A4" w:rsidRDefault="00C865A4" w:rsidP="003D7C68">
      <w:r>
        <w:t>This gives two options that we capture below to ensure SSB skipping does not happen</w:t>
      </w:r>
    </w:p>
    <w:p w14:paraId="43F564C5" w14:textId="5F21CAD9" w:rsidR="00BA0D19" w:rsidRDefault="00BA59B4" w:rsidP="00FB5972">
      <w:pPr>
        <w:rPr>
          <w:b/>
          <w:bCs/>
        </w:rPr>
      </w:pPr>
      <w:r w:rsidRPr="00BA59B4">
        <w:rPr>
          <w:b/>
          <w:bCs/>
        </w:rPr>
        <w:t xml:space="preserve">Proposal 5: </w:t>
      </w:r>
      <w:r w:rsidR="00C865A4">
        <w:rPr>
          <w:b/>
          <w:bCs/>
        </w:rPr>
        <w:t>To avoid SSB skipping for a cell that applies cell DTX, the following two options are possible:</w:t>
      </w:r>
    </w:p>
    <w:p w14:paraId="2E6FDB0C" w14:textId="64DFFF31" w:rsidR="00C865A4" w:rsidRDefault="003D0698" w:rsidP="00FB5972">
      <w:pPr>
        <w:rPr>
          <w:b/>
          <w:bCs/>
        </w:rPr>
      </w:pPr>
      <w:r>
        <w:rPr>
          <w:b/>
          <w:bCs/>
        </w:rPr>
        <w:t xml:space="preserve">Option 1: gNB </w:t>
      </w:r>
      <w:r w:rsidR="003E18CE">
        <w:rPr>
          <w:b/>
          <w:bCs/>
        </w:rPr>
        <w:t>turn off transmission on DL-SCH and PDCCH</w:t>
      </w:r>
      <w:r w:rsidR="002766E6">
        <w:rPr>
          <w:b/>
          <w:bCs/>
        </w:rPr>
        <w:t xml:space="preserve"> </w:t>
      </w:r>
      <w:r w:rsidR="00874251">
        <w:rPr>
          <w:b/>
          <w:bCs/>
        </w:rPr>
        <w:t>as well as</w:t>
      </w:r>
      <w:r w:rsidR="002766E6">
        <w:rPr>
          <w:b/>
          <w:bCs/>
        </w:rPr>
        <w:t xml:space="preserve"> reference signals during cell DTX, but makes sure SSB occasions do not overlap with a cell DTX inactive period.</w:t>
      </w:r>
    </w:p>
    <w:p w14:paraId="1497ED66" w14:textId="4F10EBE4" w:rsidR="002766E6" w:rsidRPr="00BA59B4" w:rsidRDefault="00DC0F24" w:rsidP="00FB5972">
      <w:pPr>
        <w:rPr>
          <w:b/>
          <w:bCs/>
        </w:rPr>
      </w:pPr>
      <w:r>
        <w:rPr>
          <w:b/>
          <w:bCs/>
        </w:rPr>
        <w:t>Option 2: gNB can only turn off transmission</w:t>
      </w:r>
      <w:r w:rsidR="00215A44">
        <w:rPr>
          <w:b/>
          <w:bCs/>
        </w:rPr>
        <w:t xml:space="preserve"> on DL-SCH and PDCCH</w:t>
      </w:r>
      <w:r>
        <w:rPr>
          <w:b/>
          <w:bCs/>
        </w:rPr>
        <w:t xml:space="preserve"> but not reference signalling</w:t>
      </w:r>
      <w:r w:rsidR="00215A44">
        <w:rPr>
          <w:b/>
          <w:bCs/>
        </w:rPr>
        <w:t xml:space="preserve"> (</w:t>
      </w:r>
      <w:r w:rsidR="003E18CE">
        <w:rPr>
          <w:b/>
          <w:bCs/>
        </w:rPr>
        <w:t>e.g.,</w:t>
      </w:r>
      <w:r w:rsidR="00215A44">
        <w:rPr>
          <w:b/>
          <w:bCs/>
        </w:rPr>
        <w:t xml:space="preserve"> SSB)</w:t>
      </w:r>
      <w:r>
        <w:rPr>
          <w:b/>
          <w:bCs/>
        </w:rPr>
        <w:t xml:space="preserve"> during cell DTX inactive period.</w:t>
      </w:r>
    </w:p>
    <w:p w14:paraId="4B7D7BD6" w14:textId="3B49541B" w:rsidR="00E41E67" w:rsidRDefault="00DC0F24" w:rsidP="00E41E67">
      <w:r>
        <w:t xml:space="preserve">The two options ensure SSB transmissions and legacy UE access are unaffected by cell DTX. </w:t>
      </w:r>
      <w:r w:rsidR="00E41E67">
        <w:t xml:space="preserve">Using </w:t>
      </w:r>
      <w:r w:rsidR="001437F9">
        <w:t>cell</w:t>
      </w:r>
      <w:r w:rsidR="00E41E67">
        <w:t xml:space="preserve"> DTX, the gNB can save energy by reducing transmissions. Furthermore, informing a connected UE about discontinuation of transmissions allows the UE to skip:</w:t>
      </w:r>
    </w:p>
    <w:p w14:paraId="280499E9" w14:textId="77777777" w:rsidR="00E41E67" w:rsidRDefault="00E41E67" w:rsidP="00E41E67">
      <w:pPr>
        <w:pStyle w:val="ListParagraph"/>
        <w:numPr>
          <w:ilvl w:val="0"/>
          <w:numId w:val="16"/>
        </w:numPr>
      </w:pPr>
      <w:r>
        <w:t xml:space="preserve">monitoring of PDCCH within the UE’s C-DRX active time, and </w:t>
      </w:r>
    </w:p>
    <w:p w14:paraId="539138F7" w14:textId="77777777" w:rsidR="00E41E67" w:rsidRDefault="00E41E67" w:rsidP="00E41E67">
      <w:pPr>
        <w:pStyle w:val="ListParagraph"/>
        <w:numPr>
          <w:ilvl w:val="0"/>
          <w:numId w:val="16"/>
        </w:numPr>
      </w:pPr>
      <w:r>
        <w:t xml:space="preserve">monitoring of SPS transmissions within and outside UE’s C-DRX active time, </w:t>
      </w:r>
    </w:p>
    <w:p w14:paraId="6E670B32" w14:textId="054333DA" w:rsidR="00FE3E59" w:rsidRDefault="00E41E67" w:rsidP="00E41E67">
      <w:r>
        <w:t>which also enables UE power saving.</w:t>
      </w:r>
    </w:p>
    <w:p w14:paraId="5562852D" w14:textId="175B8790" w:rsidR="00620809" w:rsidRDefault="00620809" w:rsidP="00011510">
      <w:pPr>
        <w:pStyle w:val="Heading1"/>
      </w:pPr>
      <w:r>
        <w:t>5 Signalling for Cell DTX</w:t>
      </w:r>
    </w:p>
    <w:p w14:paraId="2D6C5437" w14:textId="360ACC0C" w:rsidR="00620809" w:rsidRDefault="00620809" w:rsidP="00620809">
      <w:r>
        <w:t>Cell DTX/DRX configuration and signalling where one of the intensely debated topics</w:t>
      </w:r>
      <w:r w:rsidR="003F4D5A">
        <w:t xml:space="preserve"> in the meeting and over email which resulted in this list of things to study</w:t>
      </w:r>
      <w:r w:rsidR="001C4485">
        <w:t>:</w:t>
      </w:r>
    </w:p>
    <w:tbl>
      <w:tblPr>
        <w:tblStyle w:val="TableGrid"/>
        <w:tblW w:w="0" w:type="auto"/>
        <w:tblLook w:val="04A0" w:firstRow="1" w:lastRow="0" w:firstColumn="1" w:lastColumn="0" w:noHBand="0" w:noVBand="1"/>
      </w:tblPr>
      <w:tblGrid>
        <w:gridCol w:w="9631"/>
      </w:tblGrid>
      <w:tr w:rsidR="001C4485" w14:paraId="6524C149" w14:textId="77777777" w:rsidTr="001C4485">
        <w:tc>
          <w:tcPr>
            <w:tcW w:w="9631" w:type="dxa"/>
          </w:tcPr>
          <w:p w14:paraId="4E180911" w14:textId="77777777" w:rsidR="001C4485" w:rsidRPr="00D45BDE" w:rsidRDefault="001C4485" w:rsidP="001C4485">
            <w:pPr>
              <w:pStyle w:val="ListParagraph"/>
              <w:numPr>
                <w:ilvl w:val="0"/>
                <w:numId w:val="19"/>
              </w:numPr>
              <w:overflowPunct w:val="0"/>
              <w:autoSpaceDE w:val="0"/>
              <w:autoSpaceDN w:val="0"/>
              <w:adjustRightInd w:val="0"/>
              <w:contextualSpacing w:val="0"/>
              <w:textAlignment w:val="baseline"/>
              <w:rPr>
                <w:bCs/>
                <w:lang w:eastAsia="zh-CN"/>
              </w:rPr>
            </w:pPr>
            <w:r w:rsidRPr="00D45BDE">
              <w:rPr>
                <w:bCs/>
                <w:lang w:eastAsia="zh-CN"/>
              </w:rPr>
              <w:t>Configuration and signalling:</w:t>
            </w:r>
          </w:p>
          <w:p w14:paraId="0B20AFE4" w14:textId="77777777" w:rsidR="001C4485" w:rsidRPr="00D45BDE" w:rsidRDefault="001C4485" w:rsidP="001C4485">
            <w:pPr>
              <w:pStyle w:val="ListParagraph"/>
              <w:ind w:left="360"/>
              <w:rPr>
                <w:bCs/>
                <w:lang w:eastAsia="zh-CN"/>
              </w:rPr>
            </w:pPr>
            <w:r w:rsidRPr="00D45BDE">
              <w:rPr>
                <w:bCs/>
                <w:lang w:eastAsia="zh-CN"/>
              </w:rPr>
              <w:t>2-1:</w:t>
            </w:r>
            <w:r w:rsidRPr="00D45BDE">
              <w:rPr>
                <w:bCs/>
              </w:rPr>
              <w:t xml:space="preserve"> </w:t>
            </w:r>
            <w:r w:rsidRPr="00D45BDE">
              <w:rPr>
                <w:bCs/>
                <w:lang w:eastAsia="zh-CN"/>
              </w:rPr>
              <w:t>The detailed information to be configured, e.g. DTX/DRX pattern etc.</w:t>
            </w:r>
          </w:p>
          <w:p w14:paraId="000861B9" w14:textId="77777777" w:rsidR="001C4485" w:rsidRPr="00D45BDE" w:rsidRDefault="001C4485" w:rsidP="001C4485">
            <w:pPr>
              <w:pStyle w:val="ListParagraph"/>
              <w:ind w:left="360"/>
              <w:rPr>
                <w:bCs/>
                <w:lang w:eastAsia="zh-CN"/>
              </w:rPr>
            </w:pPr>
            <w:r w:rsidRPr="00D45BDE">
              <w:rPr>
                <w:bCs/>
                <w:lang w:eastAsia="zh-CN"/>
              </w:rPr>
              <w:t>2-2: The signalling design, including but not limited to:</w:t>
            </w:r>
          </w:p>
          <w:p w14:paraId="5C99A9E8" w14:textId="77777777" w:rsidR="001C4485" w:rsidRPr="00D45BDE" w:rsidRDefault="001C4485" w:rsidP="001C4485">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t>Notification procedure and signalling of DTX/DRX pattern?</w:t>
            </w:r>
          </w:p>
          <w:p w14:paraId="0E180FDD" w14:textId="77777777" w:rsidR="001C4485" w:rsidRPr="00D45BDE" w:rsidRDefault="001C4485" w:rsidP="001C4485">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t>How group signalling applies to the configuration or mode notification?</w:t>
            </w:r>
          </w:p>
          <w:p w14:paraId="4C254596" w14:textId="77777777" w:rsidR="001C4485" w:rsidRPr="00D45BDE" w:rsidRDefault="001C4485" w:rsidP="001C4485">
            <w:pPr>
              <w:pStyle w:val="ListParagraph"/>
              <w:ind w:left="360"/>
              <w:rPr>
                <w:bCs/>
                <w:lang w:eastAsia="zh-CN"/>
              </w:rPr>
            </w:pPr>
            <w:r w:rsidRPr="00D45BDE">
              <w:rPr>
                <w:bCs/>
                <w:lang w:eastAsia="zh-CN"/>
              </w:rPr>
              <w:t>2-3: Multiple configurations</w:t>
            </w:r>
          </w:p>
          <w:p w14:paraId="4CEB5D17" w14:textId="77777777" w:rsidR="001C4485" w:rsidRPr="00D45BDE" w:rsidRDefault="001C4485" w:rsidP="001C4485">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t>Joint or separate configuration of DTX and DRX mode/operation</w:t>
            </w:r>
          </w:p>
          <w:p w14:paraId="7C5F0DC6" w14:textId="77777777" w:rsidR="001C4485" w:rsidRPr="00D45BDE" w:rsidRDefault="001C4485" w:rsidP="001C4485">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t>Whether multiple DTX/DRX configurations/modes (based on the definition of multiple configurations from above) are allowed to be configured via RRC signalling</w:t>
            </w:r>
          </w:p>
          <w:p w14:paraId="0A29155A" w14:textId="04A9E2A9" w:rsidR="001C4485" w:rsidRPr="001C4485" w:rsidRDefault="001C4485" w:rsidP="00620809">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t>Whether the activation of NW DRX can be different with NW DTX</w:t>
            </w:r>
          </w:p>
        </w:tc>
      </w:tr>
    </w:tbl>
    <w:p w14:paraId="5742A5CD" w14:textId="0FF0CF39" w:rsidR="001C4485" w:rsidRDefault="00CA100F" w:rsidP="00620809">
      <w:r>
        <w:t>It is useful to split the target scenarios to the well-known periodic Cell DTX operation, and aperiodic cell DTX that was proposed during the meeting.</w:t>
      </w:r>
    </w:p>
    <w:p w14:paraId="244A7DEC" w14:textId="32CFDAF6" w:rsidR="00CA100F" w:rsidRDefault="00CA100F" w:rsidP="00CA100F">
      <w:pPr>
        <w:pStyle w:val="Heading2"/>
        <w:ind w:left="1566"/>
      </w:pPr>
      <w:r>
        <w:t>5.1 Signalling for Periodic Cell-DTX</w:t>
      </w:r>
    </w:p>
    <w:p w14:paraId="444C6FB6" w14:textId="77777777" w:rsidR="005D5D12" w:rsidRDefault="005A7A64" w:rsidP="00CA100F">
      <w:r>
        <w:t xml:space="preserve">The periodic cell DTX is straightforward </w:t>
      </w:r>
      <w:r w:rsidR="00033FEF">
        <w:t xml:space="preserve">with a general shared understanding on how it should work. Basically, the NW configures the UE with one more NES C-DRX configurations via RRC. This configuration is understood to be </w:t>
      </w:r>
      <w:r w:rsidR="00033FEF">
        <w:lastRenderedPageBreak/>
        <w:t xml:space="preserve">active </w:t>
      </w:r>
      <w:r w:rsidR="00645B47">
        <w:t xml:space="preserve">when the NW enters NES state. Furthermore, the NW ensures </w:t>
      </w:r>
      <w:r w:rsidR="005855D7">
        <w:t>that all UEs in the cell are aligned in their NES DRX configuration. While perfect alignment is not necessary since some UEs may need a longer DRX</w:t>
      </w:r>
      <w:r w:rsidR="005D5D12">
        <w:t xml:space="preserve"> active time</w:t>
      </w:r>
      <w:r w:rsidR="005855D7">
        <w:t xml:space="preserve"> than others</w:t>
      </w:r>
      <w:r w:rsidR="005D5D12">
        <w:t xml:space="preserve"> based on QoS, the NW can choose DRX cycles for different UEs to maximize cell DTX opportunities.</w:t>
      </w:r>
    </w:p>
    <w:p w14:paraId="228AD5AE" w14:textId="41B2A507" w:rsidR="00EB3B89" w:rsidRPr="0063772E" w:rsidRDefault="005D5D12" w:rsidP="00CA100F">
      <w:pPr>
        <w:rPr>
          <w:b/>
          <w:bCs/>
        </w:rPr>
      </w:pPr>
      <w:r w:rsidRPr="0063772E">
        <w:rPr>
          <w:b/>
          <w:bCs/>
        </w:rPr>
        <w:t xml:space="preserve">Proposal 6: </w:t>
      </w:r>
      <w:r w:rsidR="0070387E">
        <w:rPr>
          <w:b/>
          <w:bCs/>
        </w:rPr>
        <w:t xml:space="preserve">NES-capable </w:t>
      </w:r>
      <w:r w:rsidRPr="0063772E">
        <w:rPr>
          <w:b/>
          <w:bCs/>
        </w:rPr>
        <w:t>UE</w:t>
      </w:r>
      <w:r w:rsidR="0070387E">
        <w:rPr>
          <w:b/>
          <w:bCs/>
        </w:rPr>
        <w:t>s</w:t>
      </w:r>
      <w:r w:rsidRPr="0063772E">
        <w:rPr>
          <w:b/>
          <w:bCs/>
        </w:rPr>
        <w:t xml:space="preserve"> are configured with a</w:t>
      </w:r>
      <w:r w:rsidR="00C14619">
        <w:rPr>
          <w:b/>
          <w:bCs/>
        </w:rPr>
        <w:t>t least one</w:t>
      </w:r>
      <w:r w:rsidRPr="0063772E">
        <w:rPr>
          <w:b/>
          <w:bCs/>
        </w:rPr>
        <w:t xml:space="preserve"> designated NES</w:t>
      </w:r>
      <w:r w:rsidR="00EB3B89" w:rsidRPr="0063772E">
        <w:rPr>
          <w:b/>
          <w:bCs/>
        </w:rPr>
        <w:t xml:space="preserve"> C-DRX configuration. It is up to NW implementation how to align</w:t>
      </w:r>
      <w:r w:rsidR="00610326">
        <w:rPr>
          <w:b/>
          <w:bCs/>
        </w:rPr>
        <w:t xml:space="preserve"> different </w:t>
      </w:r>
      <w:r w:rsidR="00EB3B89" w:rsidRPr="0063772E">
        <w:rPr>
          <w:b/>
          <w:bCs/>
        </w:rPr>
        <w:t xml:space="preserve">UE </w:t>
      </w:r>
      <w:r w:rsidR="00610326">
        <w:rPr>
          <w:b/>
          <w:bCs/>
        </w:rPr>
        <w:t xml:space="preserve">NES </w:t>
      </w:r>
      <w:r w:rsidR="00EB3B89" w:rsidRPr="0063772E">
        <w:rPr>
          <w:b/>
          <w:bCs/>
        </w:rPr>
        <w:t>C-DRX cycles to maximize cell DTX opportunities.</w:t>
      </w:r>
    </w:p>
    <w:p w14:paraId="6EC1B853" w14:textId="77777777" w:rsidR="00560693" w:rsidRDefault="0043056E" w:rsidP="00CA100F">
      <w:r>
        <w:t xml:space="preserve">As the </w:t>
      </w:r>
      <w:r w:rsidR="00F555DE">
        <w:t xml:space="preserve">NW </w:t>
      </w:r>
      <w:r>
        <w:t>anticipates cell DTX opportunities,</w:t>
      </w:r>
      <w:r w:rsidR="00F555DE">
        <w:t xml:space="preserve"> it can quickly activate </w:t>
      </w:r>
      <w:r w:rsidR="00560693">
        <w:t>the several UE NES C-DRX aligned configurations via dynamic unicast signalling or group signalling.</w:t>
      </w:r>
    </w:p>
    <w:p w14:paraId="6E08F0AB" w14:textId="77777777" w:rsidR="00F337EC" w:rsidRDefault="00560693" w:rsidP="00CA100F">
      <w:pPr>
        <w:rPr>
          <w:b/>
          <w:bCs/>
        </w:rPr>
      </w:pPr>
      <w:r w:rsidRPr="0063772E">
        <w:rPr>
          <w:b/>
          <w:bCs/>
        </w:rPr>
        <w:t xml:space="preserve">Proposal 7: </w:t>
      </w:r>
      <w:r w:rsidR="0043056E" w:rsidRPr="0063772E">
        <w:rPr>
          <w:b/>
          <w:bCs/>
        </w:rPr>
        <w:t xml:space="preserve"> </w:t>
      </w:r>
      <w:r w:rsidR="005855D7" w:rsidRPr="0063772E">
        <w:rPr>
          <w:b/>
          <w:bCs/>
        </w:rPr>
        <w:t xml:space="preserve"> </w:t>
      </w:r>
      <w:r w:rsidR="00033FEF" w:rsidRPr="0063772E">
        <w:rPr>
          <w:b/>
          <w:bCs/>
        </w:rPr>
        <w:t xml:space="preserve"> </w:t>
      </w:r>
      <w:r w:rsidR="00E90CA6" w:rsidRPr="0063772E">
        <w:rPr>
          <w:b/>
          <w:bCs/>
        </w:rPr>
        <w:t xml:space="preserve">The gNB informs the connected UE about </w:t>
      </w:r>
      <w:r w:rsidR="00B96FD8">
        <w:rPr>
          <w:b/>
          <w:bCs/>
        </w:rPr>
        <w:t>NES-DRX configuration,</w:t>
      </w:r>
      <w:r w:rsidR="00790DEB" w:rsidRPr="0063772E">
        <w:rPr>
          <w:b/>
          <w:bCs/>
        </w:rPr>
        <w:t xml:space="preserve"> and activates th</w:t>
      </w:r>
      <w:r w:rsidR="00B96FD8">
        <w:rPr>
          <w:b/>
          <w:bCs/>
        </w:rPr>
        <w:t>at</w:t>
      </w:r>
      <w:r w:rsidR="00790DEB" w:rsidRPr="0063772E">
        <w:rPr>
          <w:b/>
          <w:bCs/>
        </w:rPr>
        <w:t xml:space="preserve"> configured NES</w:t>
      </w:r>
      <w:r w:rsidR="005F5030">
        <w:rPr>
          <w:b/>
          <w:bCs/>
        </w:rPr>
        <w:t xml:space="preserve"> UE</w:t>
      </w:r>
      <w:r w:rsidR="00790DEB" w:rsidRPr="0063772E">
        <w:rPr>
          <w:b/>
          <w:bCs/>
        </w:rPr>
        <w:t xml:space="preserve"> C-DRX </w:t>
      </w:r>
      <w:r w:rsidR="00FC347B" w:rsidRPr="0063772E">
        <w:rPr>
          <w:b/>
          <w:bCs/>
        </w:rPr>
        <w:t>cycles</w:t>
      </w:r>
      <w:r w:rsidR="00E90CA6" w:rsidRPr="0063772E">
        <w:rPr>
          <w:b/>
          <w:bCs/>
        </w:rPr>
        <w:t xml:space="preserve"> </w:t>
      </w:r>
      <w:r w:rsidR="005F5030">
        <w:rPr>
          <w:b/>
          <w:bCs/>
        </w:rPr>
        <w:t xml:space="preserve">(aligned with cell DTX) </w:t>
      </w:r>
      <w:r w:rsidR="00E90CA6" w:rsidRPr="0063772E">
        <w:rPr>
          <w:b/>
          <w:bCs/>
        </w:rPr>
        <w:t>via dynamic</w:t>
      </w:r>
      <w:r w:rsidR="00FC347B" w:rsidRPr="0063772E">
        <w:rPr>
          <w:b/>
          <w:bCs/>
        </w:rPr>
        <w:t xml:space="preserve"> L1/L2</w:t>
      </w:r>
      <w:r w:rsidR="00E90CA6" w:rsidRPr="0063772E">
        <w:rPr>
          <w:b/>
          <w:bCs/>
        </w:rPr>
        <w:t xml:space="preserve"> signalling</w:t>
      </w:r>
      <w:r w:rsidR="00FC347B" w:rsidRPr="0063772E">
        <w:rPr>
          <w:b/>
          <w:bCs/>
        </w:rPr>
        <w:t xml:space="preserve"> including possibly group signalling. It is up to RAN1 to design L1 or group signalling details for Cell DTX activation. </w:t>
      </w:r>
    </w:p>
    <w:p w14:paraId="6B0FD499" w14:textId="478FADBC" w:rsidR="00CA100F" w:rsidRDefault="00FC347B" w:rsidP="00CA100F">
      <w:pPr>
        <w:rPr>
          <w:b/>
          <w:bCs/>
        </w:rPr>
      </w:pPr>
      <w:r w:rsidRPr="0063772E">
        <w:rPr>
          <w:b/>
          <w:bCs/>
        </w:rPr>
        <w:t xml:space="preserve">FFS </w:t>
      </w:r>
      <w:r w:rsidR="00414C70" w:rsidRPr="0063772E">
        <w:rPr>
          <w:b/>
          <w:bCs/>
        </w:rPr>
        <w:t xml:space="preserve">on how the NW can </w:t>
      </w:r>
      <w:r w:rsidR="00CA6600" w:rsidRPr="0063772E">
        <w:rPr>
          <w:b/>
          <w:bCs/>
        </w:rPr>
        <w:t>deactivate</w:t>
      </w:r>
      <w:r w:rsidR="00414C70" w:rsidRPr="0063772E">
        <w:rPr>
          <w:b/>
          <w:bCs/>
        </w:rPr>
        <w:t xml:space="preserve"> the UE to exit that NES C-DRX </w:t>
      </w:r>
      <w:r w:rsidR="00CA6600" w:rsidRPr="0063772E">
        <w:rPr>
          <w:b/>
          <w:bCs/>
        </w:rPr>
        <w:t xml:space="preserve">configuration. </w:t>
      </w:r>
      <w:r w:rsidR="0063772E">
        <w:rPr>
          <w:b/>
          <w:bCs/>
        </w:rPr>
        <w:t xml:space="preserve">FFS on </w:t>
      </w:r>
      <w:r w:rsidR="00D7323E">
        <w:rPr>
          <w:b/>
          <w:bCs/>
        </w:rPr>
        <w:t>whether more</w:t>
      </w:r>
      <w:r w:rsidR="0063772E">
        <w:rPr>
          <w:b/>
          <w:bCs/>
        </w:rPr>
        <w:t xml:space="preserve"> than a single NES C-DRX configuration is needed at the UE.</w:t>
      </w:r>
    </w:p>
    <w:p w14:paraId="3E0A73A8" w14:textId="77777777" w:rsidR="002A0C04" w:rsidRPr="00D8515E" w:rsidRDefault="0063772E" w:rsidP="00CA100F">
      <w:r w:rsidRPr="00D8515E">
        <w:t xml:space="preserve">Note that the operation described above does not preclude the gNB from aligning legacy UE </w:t>
      </w:r>
      <w:r w:rsidR="002A0C04" w:rsidRPr="00D8515E">
        <w:t xml:space="preserve">C-DRX with the Cell DTX cycles using legacy method. </w:t>
      </w:r>
    </w:p>
    <w:p w14:paraId="730F87C8" w14:textId="63F4EEE2" w:rsidR="0063772E" w:rsidRDefault="002A0C04" w:rsidP="00CA100F">
      <w:pPr>
        <w:rPr>
          <w:b/>
          <w:bCs/>
        </w:rPr>
      </w:pPr>
      <w:r>
        <w:rPr>
          <w:b/>
          <w:bCs/>
        </w:rPr>
        <w:t xml:space="preserve">Observation 3: </w:t>
      </w:r>
      <w:r w:rsidR="00D8515E">
        <w:rPr>
          <w:b/>
          <w:bCs/>
        </w:rPr>
        <w:t>The NW can align legacy UE DRX inactive time with cell DTX inactive time using legacy signalling.</w:t>
      </w:r>
      <w:r>
        <w:rPr>
          <w:b/>
          <w:bCs/>
        </w:rPr>
        <w:t xml:space="preserve"> </w:t>
      </w:r>
    </w:p>
    <w:p w14:paraId="467D50EF" w14:textId="58A9355A" w:rsidR="00D8515E" w:rsidRDefault="00D8515E" w:rsidP="00D8515E">
      <w:pPr>
        <w:pStyle w:val="Heading2"/>
        <w:ind w:left="1566"/>
      </w:pPr>
      <w:r>
        <w:t>5.2 Aperiodic Cell-DTX</w:t>
      </w:r>
    </w:p>
    <w:p w14:paraId="6E709DFA" w14:textId="300E2448" w:rsidR="00D8515E" w:rsidRDefault="00D8515E" w:rsidP="00D8515E">
      <w:r>
        <w:t xml:space="preserve">It was also discussed during the email discussion [4] </w:t>
      </w:r>
      <w:r w:rsidR="009E38C6">
        <w:t xml:space="preserve">whether aperiodic cell DTX activation is needed to take advantage of short-term sleep opportunities. </w:t>
      </w:r>
    </w:p>
    <w:tbl>
      <w:tblPr>
        <w:tblStyle w:val="TableGrid"/>
        <w:tblW w:w="0" w:type="auto"/>
        <w:tblLook w:val="04A0" w:firstRow="1" w:lastRow="0" w:firstColumn="1" w:lastColumn="0" w:noHBand="0" w:noVBand="1"/>
      </w:tblPr>
      <w:tblGrid>
        <w:gridCol w:w="9631"/>
      </w:tblGrid>
      <w:tr w:rsidR="008443EA" w14:paraId="3E157FE9" w14:textId="77777777" w:rsidTr="008443EA">
        <w:tc>
          <w:tcPr>
            <w:tcW w:w="9631" w:type="dxa"/>
          </w:tcPr>
          <w:p w14:paraId="59D8EC5A" w14:textId="77777777" w:rsidR="008443EA" w:rsidRPr="00D45BDE" w:rsidRDefault="008443EA" w:rsidP="008443EA">
            <w:pPr>
              <w:pStyle w:val="ListParagraph"/>
              <w:ind w:left="360"/>
              <w:rPr>
                <w:bCs/>
                <w:lang w:eastAsia="zh-CN"/>
              </w:rPr>
            </w:pPr>
            <w:r w:rsidRPr="00D45BDE">
              <w:rPr>
                <w:bCs/>
                <w:lang w:eastAsia="zh-CN"/>
              </w:rPr>
              <w:t>Whether L1/L2 signalling can be used to configure the DTX/DRX pattern, or only be used to activate the RRC-configured DTX/DRX pattern:</w:t>
            </w:r>
          </w:p>
          <w:p w14:paraId="71F0294F" w14:textId="77777777" w:rsidR="008443EA" w:rsidRPr="00D45BDE" w:rsidRDefault="008443EA" w:rsidP="008443EA">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t>Alt-1: Allow both periodic pattern (configured by RRC) and one-shot pattern (configured by L1/L2 signalling)</w:t>
            </w:r>
          </w:p>
          <w:p w14:paraId="30F83BA9" w14:textId="37BAE606" w:rsidR="008443EA" w:rsidRPr="008443EA" w:rsidRDefault="008443EA" w:rsidP="00D8515E">
            <w:pPr>
              <w:pStyle w:val="ListParagraph"/>
              <w:numPr>
                <w:ilvl w:val="0"/>
                <w:numId w:val="18"/>
              </w:numPr>
              <w:overflowPunct w:val="0"/>
              <w:autoSpaceDE w:val="0"/>
              <w:autoSpaceDN w:val="0"/>
              <w:adjustRightInd w:val="0"/>
              <w:contextualSpacing w:val="0"/>
              <w:textAlignment w:val="baseline"/>
              <w:rPr>
                <w:bCs/>
                <w:lang w:eastAsia="zh-CN"/>
              </w:rPr>
            </w:pPr>
            <w:r w:rsidRPr="00D45BDE">
              <w:rPr>
                <w:bCs/>
                <w:lang w:eastAsia="zh-CN"/>
              </w:rPr>
              <w:t>Alt-2: Allow periodic pattern, configured by RRC and activated by L1/L2 signalling</w:t>
            </w:r>
          </w:p>
        </w:tc>
      </w:tr>
    </w:tbl>
    <w:p w14:paraId="2992AE42" w14:textId="24C7BABD" w:rsidR="008443EA" w:rsidRDefault="008443EA" w:rsidP="00D8515E">
      <w:r>
        <w:t xml:space="preserve">In our view, aperiodic scenario can </w:t>
      </w:r>
      <w:r w:rsidR="00EE4EBA">
        <w:t>possibly</w:t>
      </w:r>
      <w:r>
        <w:t xml:space="preserve"> bring some gains</w:t>
      </w:r>
      <w:r w:rsidR="00283120">
        <w:t xml:space="preserve"> but likely, the NES gains would be limited compared to periodic operation, thus, we prefer RAN2 deprioritizes </w:t>
      </w:r>
      <w:r w:rsidR="00EE4EBA">
        <w:t xml:space="preserve">the aperiodic one-shot scenario unless a good use case is </w:t>
      </w:r>
      <w:r w:rsidR="008271E3">
        <w:t>found.</w:t>
      </w:r>
    </w:p>
    <w:p w14:paraId="5B76AA0C" w14:textId="59A6873E" w:rsidR="00EE4EBA" w:rsidRDefault="00EE4EBA" w:rsidP="00D8515E">
      <w:pPr>
        <w:rPr>
          <w:b/>
          <w:bCs/>
        </w:rPr>
      </w:pPr>
      <w:r w:rsidRPr="00EE4EBA">
        <w:rPr>
          <w:b/>
          <w:bCs/>
        </w:rPr>
        <w:t>Proposal 8</w:t>
      </w:r>
      <w:r w:rsidR="00114F98">
        <w:rPr>
          <w:b/>
          <w:bCs/>
        </w:rPr>
        <w:t>:</w:t>
      </w:r>
      <w:r w:rsidRPr="00EE4EBA">
        <w:rPr>
          <w:b/>
          <w:bCs/>
        </w:rPr>
        <w:t xml:space="preserve"> RAN2 to deprioritize the aperiodic cell DTX scenario.</w:t>
      </w:r>
    </w:p>
    <w:p w14:paraId="244F7912" w14:textId="1F91DCF6" w:rsidR="00EE4EBA" w:rsidRDefault="00EE4EBA" w:rsidP="00EE4EBA">
      <w:pPr>
        <w:pStyle w:val="Heading1"/>
      </w:pPr>
      <w:r>
        <w:t>Cell DRX</w:t>
      </w:r>
    </w:p>
    <w:p w14:paraId="744C7E77" w14:textId="6A60F69A" w:rsidR="00EE4EBA" w:rsidRDefault="00EE4EBA" w:rsidP="00EE4EBA">
      <w:r>
        <w:t>For Cell DRX, the UE is the traffic source. Information on UE UL transmissions using a dynamic grant is available to the gNB based on SRs and BSRs provided by the UE. Such information may not be available for the configured grant case. This causes the gNB to monitor for UE UL transmissions on all occasions of the configured grant, but the UE may still use a subset. This may not be energy efficient to the network.</w:t>
      </w:r>
    </w:p>
    <w:p w14:paraId="359C9870" w14:textId="210C4895" w:rsidR="00EE4EBA" w:rsidRDefault="00EE4EBA" w:rsidP="00EE4EBA">
      <w:pPr>
        <w:spacing w:after="120"/>
      </w:pPr>
      <w:r>
        <w:t xml:space="preserve">RAN2 </w:t>
      </w:r>
      <w:r w:rsidR="009D5554">
        <w:t>can</w:t>
      </w:r>
      <w:r>
        <w:t xml:space="preserve"> investigate methods to reduce energy consumption on the gNB due to blind monitoring. </w:t>
      </w:r>
      <w:r w:rsidR="009D5554">
        <w:t xml:space="preserve">However, we can discuss those methods only if it is agreed in RAN2 that cell DTX and cell DRX operations are configured and/or activated separately. </w:t>
      </w:r>
    </w:p>
    <w:p w14:paraId="39D67B7F" w14:textId="7EEA8B56" w:rsidR="00EE4EBA" w:rsidRPr="00EE4EBA" w:rsidRDefault="00EE4EBA" w:rsidP="00EE4EBA">
      <w:pPr>
        <w:spacing w:after="120"/>
        <w:rPr>
          <w:b/>
          <w:bCs/>
        </w:rPr>
      </w:pPr>
      <w:r w:rsidRPr="005B26A7">
        <w:rPr>
          <w:b/>
          <w:bCs/>
        </w:rPr>
        <w:t>Proposal</w:t>
      </w:r>
      <w:r>
        <w:rPr>
          <w:b/>
          <w:bCs/>
        </w:rPr>
        <w:t xml:space="preserve"> </w:t>
      </w:r>
      <w:r w:rsidR="009C7810">
        <w:rPr>
          <w:b/>
          <w:bCs/>
        </w:rPr>
        <w:t>9:</w:t>
      </w:r>
      <w:r w:rsidRPr="005B26A7">
        <w:rPr>
          <w:b/>
          <w:bCs/>
        </w:rPr>
        <w:t xml:space="preserve"> </w:t>
      </w:r>
      <w:r w:rsidR="009D5554">
        <w:rPr>
          <w:b/>
          <w:bCs/>
        </w:rPr>
        <w:t>RAN2 can s</w:t>
      </w:r>
      <w:r w:rsidRPr="005B26A7">
        <w:rPr>
          <w:b/>
          <w:bCs/>
        </w:rPr>
        <w:t>tudy how to reduce</w:t>
      </w:r>
      <w:r w:rsidRPr="005B26A7">
        <w:rPr>
          <w:b/>
          <w:bCs/>
          <w:color w:val="FF0000"/>
        </w:rPr>
        <w:t xml:space="preserve"> </w:t>
      </w:r>
      <w:r w:rsidRPr="005B26A7">
        <w:rPr>
          <w:b/>
          <w:bCs/>
        </w:rPr>
        <w:t>energy consumption on the cell due to blind monitoring</w:t>
      </w:r>
      <w:r w:rsidR="009D5554">
        <w:rPr>
          <w:b/>
          <w:bCs/>
        </w:rPr>
        <w:t xml:space="preserve"> if separate cell DTX and cell DRX operation is agreed to in RAN2.</w:t>
      </w:r>
    </w:p>
    <w:p w14:paraId="0E224C59" w14:textId="33E78AC0" w:rsidR="0096408F" w:rsidRDefault="0096408F" w:rsidP="00896A70">
      <w:pPr>
        <w:pStyle w:val="Heading1"/>
      </w:pPr>
      <w:r>
        <w:t>Conclusion</w:t>
      </w:r>
    </w:p>
    <w:p w14:paraId="1612432B" w14:textId="77777777" w:rsidR="00896A70" w:rsidRPr="00644487" w:rsidRDefault="00896A70" w:rsidP="00896A70">
      <w:pPr>
        <w:rPr>
          <w:b/>
          <w:bCs/>
        </w:rPr>
      </w:pPr>
      <w:r w:rsidRPr="00644487">
        <w:rPr>
          <w:b/>
          <w:bCs/>
        </w:rPr>
        <w:t xml:space="preserve">Observation 1: Separate Cell DTX and Cell DRX sleeping cycles can achieve NES gains that come from the </w:t>
      </w:r>
      <w:r>
        <w:rPr>
          <w:b/>
          <w:bCs/>
        </w:rPr>
        <w:t xml:space="preserve">respective </w:t>
      </w:r>
      <w:r w:rsidRPr="00644487">
        <w:rPr>
          <w:b/>
          <w:bCs/>
        </w:rPr>
        <w:t>sleeping R</w:t>
      </w:r>
      <w:r>
        <w:rPr>
          <w:b/>
          <w:bCs/>
        </w:rPr>
        <w:t>F</w:t>
      </w:r>
      <w:r w:rsidRPr="00644487">
        <w:rPr>
          <w:b/>
          <w:bCs/>
        </w:rPr>
        <w:t xml:space="preserve"> components, i.e., no technical reason to mandate joint DTX/DRX cycles. </w:t>
      </w:r>
    </w:p>
    <w:p w14:paraId="55A7980B" w14:textId="77777777" w:rsidR="00896A70" w:rsidRDefault="00896A70" w:rsidP="00896A70">
      <w:pPr>
        <w:rPr>
          <w:b/>
          <w:bCs/>
        </w:rPr>
      </w:pPr>
      <w:r w:rsidRPr="00644487">
        <w:rPr>
          <w:b/>
          <w:bCs/>
        </w:rPr>
        <w:t xml:space="preserve">Proposal 1: RAN2 confirms </w:t>
      </w:r>
      <w:r>
        <w:rPr>
          <w:b/>
          <w:bCs/>
        </w:rPr>
        <w:t>which of those options apply:</w:t>
      </w:r>
    </w:p>
    <w:p w14:paraId="1980CC85" w14:textId="77777777" w:rsidR="00896A70" w:rsidRDefault="00896A70" w:rsidP="00896A70">
      <w:pPr>
        <w:pStyle w:val="ListParagraph"/>
        <w:numPr>
          <w:ilvl w:val="0"/>
          <w:numId w:val="21"/>
        </w:numPr>
        <w:rPr>
          <w:b/>
          <w:bCs/>
        </w:rPr>
      </w:pPr>
      <w:r>
        <w:rPr>
          <w:b/>
          <w:bCs/>
        </w:rPr>
        <w:t>Joint DTX/DRX operation is mandatory</w:t>
      </w:r>
    </w:p>
    <w:p w14:paraId="7D32BAB7" w14:textId="77777777" w:rsidR="00896A70" w:rsidRPr="00AD08DE" w:rsidRDefault="00896A70" w:rsidP="00896A70">
      <w:pPr>
        <w:pStyle w:val="ListParagraph"/>
        <w:numPr>
          <w:ilvl w:val="0"/>
          <w:numId w:val="21"/>
        </w:numPr>
        <w:rPr>
          <w:b/>
          <w:bCs/>
        </w:rPr>
      </w:pPr>
      <w:r>
        <w:rPr>
          <w:b/>
          <w:bCs/>
        </w:rPr>
        <w:lastRenderedPageBreak/>
        <w:t>Separate DTX/DRX operation is allowed</w:t>
      </w:r>
    </w:p>
    <w:p w14:paraId="1E320BB9" w14:textId="77777777" w:rsidR="00896A70" w:rsidRPr="00644487" w:rsidRDefault="00896A70" w:rsidP="00896A70">
      <w:pPr>
        <w:rPr>
          <w:b/>
          <w:bCs/>
        </w:rPr>
      </w:pPr>
      <w:r w:rsidRPr="00644487">
        <w:rPr>
          <w:b/>
          <w:bCs/>
        </w:rPr>
        <w:t>Proposal 2: Cell DTX</w:t>
      </w:r>
      <w:r>
        <w:rPr>
          <w:b/>
          <w:bCs/>
        </w:rPr>
        <w:t>/DRX</w:t>
      </w:r>
      <w:r w:rsidRPr="00644487">
        <w:rPr>
          <w:b/>
          <w:bCs/>
        </w:rPr>
        <w:t xml:space="preserve"> is prioritize</w:t>
      </w:r>
      <w:r>
        <w:rPr>
          <w:b/>
          <w:bCs/>
        </w:rPr>
        <w:t>d</w:t>
      </w:r>
      <w:r w:rsidRPr="00644487">
        <w:rPr>
          <w:b/>
          <w:bCs/>
        </w:rPr>
        <w:t xml:space="preserve"> as a</w:t>
      </w:r>
      <w:r>
        <w:rPr>
          <w:b/>
          <w:bCs/>
        </w:rPr>
        <w:t>n NES technique.</w:t>
      </w:r>
    </w:p>
    <w:p w14:paraId="00F87AD3" w14:textId="77777777" w:rsidR="00896A70" w:rsidRPr="003D7C68" w:rsidRDefault="00896A70" w:rsidP="00896A70">
      <w:pPr>
        <w:rPr>
          <w:b/>
          <w:bCs/>
        </w:rPr>
      </w:pPr>
      <w:r w:rsidRPr="003D7C68">
        <w:rPr>
          <w:b/>
          <w:bCs/>
        </w:rPr>
        <w:t>Proposal 3: Cell DTX applies to RRC connected UEs only</w:t>
      </w:r>
      <w:r>
        <w:rPr>
          <w:b/>
          <w:bCs/>
        </w:rPr>
        <w:t>.</w:t>
      </w:r>
    </w:p>
    <w:p w14:paraId="578C901F" w14:textId="77777777" w:rsidR="00896A70" w:rsidRPr="003D7C68" w:rsidRDefault="00896A70" w:rsidP="00896A70">
      <w:pPr>
        <w:rPr>
          <w:b/>
          <w:bCs/>
        </w:rPr>
      </w:pPr>
      <w:r w:rsidRPr="003D7C68">
        <w:rPr>
          <w:b/>
          <w:bCs/>
        </w:rPr>
        <w:t xml:space="preserve">Proposal 4: Cell DTX should apply to legacy and NES-capable UEs alike to maximize NES gains and keep deployment scenarios general. </w:t>
      </w:r>
    </w:p>
    <w:p w14:paraId="4681DA31" w14:textId="77777777" w:rsidR="00896A70" w:rsidRPr="00C7162C" w:rsidRDefault="00896A70" w:rsidP="00896A70">
      <w:pPr>
        <w:rPr>
          <w:b/>
          <w:bCs/>
        </w:rPr>
      </w:pPr>
      <w:r w:rsidRPr="00C7162C">
        <w:rPr>
          <w:b/>
          <w:bCs/>
        </w:rPr>
        <w:t>Observation 2: Skipping SSB during Cell DTX nonactive period means that legacy UEs cannot reliably access the cell and likely means having to bar legacy altogether which reduces NES gains.</w:t>
      </w:r>
    </w:p>
    <w:p w14:paraId="7E9C6270" w14:textId="77777777" w:rsidR="00896A70" w:rsidRDefault="00896A70" w:rsidP="00896A70">
      <w:pPr>
        <w:rPr>
          <w:b/>
          <w:bCs/>
        </w:rPr>
      </w:pPr>
      <w:r w:rsidRPr="00BA59B4">
        <w:rPr>
          <w:b/>
          <w:bCs/>
        </w:rPr>
        <w:t xml:space="preserve">Proposal 5: </w:t>
      </w:r>
      <w:r>
        <w:rPr>
          <w:b/>
          <w:bCs/>
        </w:rPr>
        <w:t>To avoid SSB skipping for a cell that applies cell DTX, the following two options are possible:</w:t>
      </w:r>
    </w:p>
    <w:p w14:paraId="50795E52" w14:textId="77777777" w:rsidR="00896A70" w:rsidRDefault="00896A70" w:rsidP="00896A70">
      <w:pPr>
        <w:rPr>
          <w:b/>
          <w:bCs/>
        </w:rPr>
      </w:pPr>
      <w:r>
        <w:rPr>
          <w:b/>
          <w:bCs/>
        </w:rPr>
        <w:t>Option 1: gNB turn off transmission on DL-SCH and PDCCH as well as reference signals during cell DTX, but makes sure SSB occasions do not overlap with a cell DTX inactive period.</w:t>
      </w:r>
    </w:p>
    <w:p w14:paraId="5B243E8A" w14:textId="77777777" w:rsidR="00896A70" w:rsidRPr="00BA59B4" w:rsidRDefault="00896A70" w:rsidP="00896A70">
      <w:pPr>
        <w:rPr>
          <w:b/>
          <w:bCs/>
        </w:rPr>
      </w:pPr>
      <w:r>
        <w:rPr>
          <w:b/>
          <w:bCs/>
        </w:rPr>
        <w:t>Option 2: gNB can only turn off transmission on DL-SCH and PDCCH but not reference signalling (e.g., SSB) during cell DTX inactive period.</w:t>
      </w:r>
    </w:p>
    <w:p w14:paraId="18800A4E" w14:textId="77777777" w:rsidR="00896A70" w:rsidRPr="0063772E" w:rsidRDefault="00896A70" w:rsidP="00896A70">
      <w:pPr>
        <w:rPr>
          <w:b/>
          <w:bCs/>
        </w:rPr>
      </w:pPr>
      <w:r w:rsidRPr="0063772E">
        <w:rPr>
          <w:b/>
          <w:bCs/>
        </w:rPr>
        <w:t xml:space="preserve">Proposal 6: </w:t>
      </w:r>
      <w:r>
        <w:rPr>
          <w:b/>
          <w:bCs/>
        </w:rPr>
        <w:t xml:space="preserve">NES-capable </w:t>
      </w:r>
      <w:r w:rsidRPr="0063772E">
        <w:rPr>
          <w:b/>
          <w:bCs/>
        </w:rPr>
        <w:t>UE</w:t>
      </w:r>
      <w:r>
        <w:rPr>
          <w:b/>
          <w:bCs/>
        </w:rPr>
        <w:t>s</w:t>
      </w:r>
      <w:r w:rsidRPr="0063772E">
        <w:rPr>
          <w:b/>
          <w:bCs/>
        </w:rPr>
        <w:t xml:space="preserve"> are configured with a</w:t>
      </w:r>
      <w:r>
        <w:rPr>
          <w:b/>
          <w:bCs/>
        </w:rPr>
        <w:t>t least one</w:t>
      </w:r>
      <w:r w:rsidRPr="0063772E">
        <w:rPr>
          <w:b/>
          <w:bCs/>
        </w:rPr>
        <w:t xml:space="preserve"> designated NES C-DRX configuration. It is up to NW implementation how to align</w:t>
      </w:r>
      <w:r>
        <w:rPr>
          <w:b/>
          <w:bCs/>
        </w:rPr>
        <w:t xml:space="preserve"> different </w:t>
      </w:r>
      <w:r w:rsidRPr="0063772E">
        <w:rPr>
          <w:b/>
          <w:bCs/>
        </w:rPr>
        <w:t xml:space="preserve">UE </w:t>
      </w:r>
      <w:r>
        <w:rPr>
          <w:b/>
          <w:bCs/>
        </w:rPr>
        <w:t xml:space="preserve">NES </w:t>
      </w:r>
      <w:r w:rsidRPr="0063772E">
        <w:rPr>
          <w:b/>
          <w:bCs/>
        </w:rPr>
        <w:t>C-DRX cycles to maximize cell DTX opportunities.</w:t>
      </w:r>
    </w:p>
    <w:p w14:paraId="03180178" w14:textId="77777777" w:rsidR="00896A70" w:rsidRDefault="00896A70" w:rsidP="00896A70">
      <w:pPr>
        <w:rPr>
          <w:b/>
          <w:bCs/>
        </w:rPr>
      </w:pPr>
      <w:r w:rsidRPr="0063772E">
        <w:rPr>
          <w:b/>
          <w:bCs/>
        </w:rPr>
        <w:t xml:space="preserve">Proposal 7:    The gNB informs the connected UE about </w:t>
      </w:r>
      <w:r>
        <w:rPr>
          <w:b/>
          <w:bCs/>
        </w:rPr>
        <w:t>NES-DRX configuration,</w:t>
      </w:r>
      <w:r w:rsidRPr="0063772E">
        <w:rPr>
          <w:b/>
          <w:bCs/>
        </w:rPr>
        <w:t xml:space="preserve"> and activates th</w:t>
      </w:r>
      <w:r>
        <w:rPr>
          <w:b/>
          <w:bCs/>
        </w:rPr>
        <w:t>at</w:t>
      </w:r>
      <w:r w:rsidRPr="0063772E">
        <w:rPr>
          <w:b/>
          <w:bCs/>
        </w:rPr>
        <w:t xml:space="preserve"> configured NES</w:t>
      </w:r>
      <w:r>
        <w:rPr>
          <w:b/>
          <w:bCs/>
        </w:rPr>
        <w:t xml:space="preserve"> UE</w:t>
      </w:r>
      <w:r w:rsidRPr="0063772E">
        <w:rPr>
          <w:b/>
          <w:bCs/>
        </w:rPr>
        <w:t xml:space="preserve"> C-DRX cycles </w:t>
      </w:r>
      <w:r>
        <w:rPr>
          <w:b/>
          <w:bCs/>
        </w:rPr>
        <w:t xml:space="preserve">(aligned with cell DTX) </w:t>
      </w:r>
      <w:r w:rsidRPr="0063772E">
        <w:rPr>
          <w:b/>
          <w:bCs/>
        </w:rPr>
        <w:t xml:space="preserve">via dynamic L1/L2 signalling including possibly group signalling. It is up to RAN1 to design L1 or group signalling details for Cell DTX activation. </w:t>
      </w:r>
    </w:p>
    <w:p w14:paraId="4AFD15BC" w14:textId="77777777" w:rsidR="00896A70" w:rsidRDefault="00896A70" w:rsidP="00896A70">
      <w:pPr>
        <w:rPr>
          <w:b/>
          <w:bCs/>
        </w:rPr>
      </w:pPr>
      <w:r w:rsidRPr="0063772E">
        <w:rPr>
          <w:b/>
          <w:bCs/>
        </w:rPr>
        <w:t xml:space="preserve">FFS on how the NW can deactivate the UE to exit that NES C-DRX configuration. </w:t>
      </w:r>
      <w:r>
        <w:rPr>
          <w:b/>
          <w:bCs/>
        </w:rPr>
        <w:t>FFS on whether more than a single NES C-DRX configuration is needed at the UE.</w:t>
      </w:r>
    </w:p>
    <w:p w14:paraId="6A37AF87" w14:textId="77777777" w:rsidR="00896A70" w:rsidRDefault="00896A70" w:rsidP="00896A70">
      <w:pPr>
        <w:rPr>
          <w:b/>
          <w:bCs/>
        </w:rPr>
      </w:pPr>
      <w:r>
        <w:rPr>
          <w:b/>
          <w:bCs/>
        </w:rPr>
        <w:t xml:space="preserve">Observation 3: The NW can align legacy UE DRX inactive time with cell DTX inactive time using legacy signalling. </w:t>
      </w:r>
    </w:p>
    <w:p w14:paraId="7555C3E7" w14:textId="77777777" w:rsidR="00896A70" w:rsidRDefault="00896A70" w:rsidP="00896A70">
      <w:pPr>
        <w:rPr>
          <w:b/>
          <w:bCs/>
        </w:rPr>
      </w:pPr>
      <w:r w:rsidRPr="00EE4EBA">
        <w:rPr>
          <w:b/>
          <w:bCs/>
        </w:rPr>
        <w:t>Proposal 8</w:t>
      </w:r>
      <w:r>
        <w:rPr>
          <w:b/>
          <w:bCs/>
        </w:rPr>
        <w:t>:</w:t>
      </w:r>
      <w:r w:rsidRPr="00EE4EBA">
        <w:rPr>
          <w:b/>
          <w:bCs/>
        </w:rPr>
        <w:t xml:space="preserve"> RAN2 to deprioritize the aperiodic cell DTX scenario.</w:t>
      </w:r>
    </w:p>
    <w:p w14:paraId="76496A67" w14:textId="77777777" w:rsidR="00896A70" w:rsidRPr="00EE4EBA" w:rsidRDefault="00896A70" w:rsidP="00896A70">
      <w:pPr>
        <w:spacing w:after="120"/>
        <w:rPr>
          <w:b/>
          <w:bCs/>
        </w:rPr>
      </w:pPr>
      <w:r w:rsidRPr="005B26A7">
        <w:rPr>
          <w:b/>
          <w:bCs/>
        </w:rPr>
        <w:t>Proposal</w:t>
      </w:r>
      <w:r>
        <w:rPr>
          <w:b/>
          <w:bCs/>
        </w:rPr>
        <w:t xml:space="preserve"> 9:</w:t>
      </w:r>
      <w:r w:rsidRPr="005B26A7">
        <w:rPr>
          <w:b/>
          <w:bCs/>
        </w:rPr>
        <w:t xml:space="preserve"> </w:t>
      </w:r>
      <w:r>
        <w:rPr>
          <w:b/>
          <w:bCs/>
        </w:rPr>
        <w:t>RAN2 can s</w:t>
      </w:r>
      <w:r w:rsidRPr="005B26A7">
        <w:rPr>
          <w:b/>
          <w:bCs/>
        </w:rPr>
        <w:t>tudy how to reduce</w:t>
      </w:r>
      <w:r w:rsidRPr="005B26A7">
        <w:rPr>
          <w:b/>
          <w:bCs/>
          <w:color w:val="FF0000"/>
        </w:rPr>
        <w:t xml:space="preserve"> </w:t>
      </w:r>
      <w:r w:rsidRPr="005B26A7">
        <w:rPr>
          <w:b/>
          <w:bCs/>
        </w:rPr>
        <w:t>energy consumption on the cell due to blind monitoring</w:t>
      </w:r>
      <w:r>
        <w:rPr>
          <w:b/>
          <w:bCs/>
        </w:rPr>
        <w:t xml:space="preserve"> if separate cell DTX and cell DRX operation is agreed to in RAN2.</w:t>
      </w:r>
    </w:p>
    <w:p w14:paraId="7F9A5B2E" w14:textId="77777777" w:rsidR="00CD4C7B" w:rsidRPr="00320A6B" w:rsidRDefault="00CD4C7B" w:rsidP="00CD4C7B">
      <w:pPr>
        <w:pStyle w:val="Heading1"/>
      </w:pPr>
      <w:r w:rsidRPr="00320A6B">
        <w:t>References</w:t>
      </w:r>
    </w:p>
    <w:p w14:paraId="698966B4" w14:textId="2DF6C1E7" w:rsidR="00FB11CA" w:rsidRDefault="00034BF8" w:rsidP="00D159C3">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DA4396">
        <w:rPr>
          <w:lang w:eastAsia="zh-CN"/>
        </w:rPr>
        <w:t>13</w:t>
      </w:r>
      <w:r w:rsidR="00904715">
        <w:rPr>
          <w:lang w:eastAsia="zh-CN"/>
        </w:rPr>
        <w:t>544</w:t>
      </w:r>
      <w:r w:rsidR="00167A87" w:rsidRPr="00F04C08">
        <w:rPr>
          <w:lang w:val="en-US" w:eastAsia="zh-CN"/>
        </w:rPr>
        <w:t xml:space="preserve">: </w:t>
      </w:r>
      <w:r w:rsidR="00E80AC8" w:rsidRPr="00E80AC8">
        <w:rPr>
          <w:lang w:val="en-US" w:eastAsia="zh-CN"/>
        </w:rPr>
        <w:t>New SI: Study on network energy savings for NR</w:t>
      </w:r>
      <w:r w:rsidR="00167A87" w:rsidRPr="00F04C08">
        <w:rPr>
          <w:lang w:val="en-US" w:eastAsia="zh-CN"/>
        </w:rPr>
        <w:t>; TSG RAN Meeting #</w:t>
      </w:r>
      <w:r w:rsidR="00E36154">
        <w:rPr>
          <w:lang w:val="en-US" w:eastAsia="zh-CN"/>
        </w:rPr>
        <w:t>94</w:t>
      </w:r>
      <w:r w:rsidR="00167A87" w:rsidRPr="00F04C08">
        <w:rPr>
          <w:lang w:val="en-US" w:eastAsia="zh-CN"/>
        </w:rPr>
        <w:t xml:space="preserve">, </w:t>
      </w:r>
      <w:r w:rsidR="002740F0">
        <w:rPr>
          <w:lang w:val="en-US" w:eastAsia="zh-CN"/>
        </w:rPr>
        <w:t>Electronic Meeting,</w:t>
      </w:r>
      <w:r w:rsidR="00EA0AAF">
        <w:rPr>
          <w:lang w:val="en-US" w:eastAsia="zh-CN"/>
        </w:rPr>
        <w:t xml:space="preserve"> </w:t>
      </w:r>
      <w:r w:rsidR="00BB06CA">
        <w:rPr>
          <w:lang w:val="en-US" w:eastAsia="zh-CN"/>
        </w:rPr>
        <w:t>Dec</w:t>
      </w:r>
      <w:r w:rsidR="00EA0AAF">
        <w:rPr>
          <w:lang w:val="en-US" w:eastAsia="zh-CN"/>
        </w:rPr>
        <w:t xml:space="preserve"> 6 - </w:t>
      </w:r>
      <w:r w:rsidR="00BB06CA">
        <w:rPr>
          <w:lang w:val="en-US" w:eastAsia="zh-CN"/>
        </w:rPr>
        <w:t>17</w:t>
      </w:r>
      <w:r w:rsidR="00167A87" w:rsidRPr="00F04C08">
        <w:rPr>
          <w:lang w:val="en-US" w:eastAsia="zh-CN"/>
        </w:rPr>
        <w:t>, 20</w:t>
      </w:r>
      <w:r w:rsidR="0036720B" w:rsidRPr="00F04C08">
        <w:rPr>
          <w:lang w:val="en-US" w:eastAsia="zh-CN"/>
        </w:rPr>
        <w:t>2</w:t>
      </w:r>
      <w:r w:rsidR="005E5D32">
        <w:rPr>
          <w:lang w:val="en-US" w:eastAsia="zh-CN"/>
        </w:rPr>
        <w:t>1</w:t>
      </w:r>
    </w:p>
    <w:p w14:paraId="6E515B5A" w14:textId="4A52140C" w:rsidR="00462C47" w:rsidRDefault="00462C47" w:rsidP="00462C4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RAN2 119</w:t>
      </w:r>
      <w:r w:rsidR="00CF7583">
        <w:rPr>
          <w:lang w:val="en-US" w:eastAsia="zh-CN"/>
        </w:rPr>
        <w:t xml:space="preserve"> bis</w:t>
      </w:r>
      <w:r>
        <w:rPr>
          <w:lang w:val="en-US" w:eastAsia="zh-CN"/>
        </w:rPr>
        <w:t>e – Chairman Notes</w:t>
      </w:r>
    </w:p>
    <w:bookmarkEnd w:id="0"/>
    <w:p w14:paraId="18A8108C" w14:textId="66B59A91" w:rsidR="00080512" w:rsidRDefault="00FC7CB6" w:rsidP="00F45BF8">
      <w:pPr>
        <w:overflowPunct w:val="0"/>
        <w:autoSpaceDE w:val="0"/>
        <w:autoSpaceDN w:val="0"/>
        <w:adjustRightInd w:val="0"/>
        <w:textAlignment w:val="baseline"/>
      </w:pPr>
      <w:r>
        <w:t xml:space="preserve">[3] </w:t>
      </w:r>
      <w:r w:rsidR="00F45BF8">
        <w:t>R2-2211066 Report of [POST119bis][303][NES] TP on NW DTX/DRX (Huawei/Apple)</w:t>
      </w:r>
    </w:p>
    <w:p w14:paraId="5FF79307" w14:textId="7F416E0D" w:rsidR="00D61F7E" w:rsidRDefault="00D61F7E" w:rsidP="00F45BF8">
      <w:pPr>
        <w:overflowPunct w:val="0"/>
        <w:autoSpaceDE w:val="0"/>
        <w:autoSpaceDN w:val="0"/>
        <w:adjustRightInd w:val="0"/>
        <w:textAlignment w:val="baseline"/>
      </w:pPr>
      <w:r>
        <w:t xml:space="preserve">[4] </w:t>
      </w:r>
      <w:r w:rsidRPr="00D61F7E">
        <w:t>R2-2211067 TP on Cell DTX DRX to TR 38.864</w:t>
      </w:r>
    </w:p>
    <w:p w14:paraId="0C27F644" w14:textId="77777777" w:rsidR="00374FA0" w:rsidRPr="00320A6B" w:rsidRDefault="00374FA0" w:rsidP="00F45BF8">
      <w:pPr>
        <w:overflowPunct w:val="0"/>
        <w:autoSpaceDE w:val="0"/>
        <w:autoSpaceDN w:val="0"/>
        <w:adjustRightInd w:val="0"/>
        <w:textAlignment w:val="baseline"/>
      </w:pP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1CE93" w14:textId="77777777" w:rsidR="009B5388" w:rsidRDefault="009B5388">
      <w:r>
        <w:separator/>
      </w:r>
    </w:p>
  </w:endnote>
  <w:endnote w:type="continuationSeparator" w:id="0">
    <w:p w14:paraId="543AA9D1" w14:textId="77777777" w:rsidR="009B5388" w:rsidRDefault="009B5388">
      <w:r>
        <w:continuationSeparator/>
      </w:r>
    </w:p>
  </w:endnote>
  <w:endnote w:type="continuationNotice" w:id="1">
    <w:p w14:paraId="130C229E" w14:textId="77777777" w:rsidR="009B5388" w:rsidRDefault="009B5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9DD78" w14:textId="77777777" w:rsidR="009B5388" w:rsidRDefault="009B5388">
      <w:r>
        <w:separator/>
      </w:r>
    </w:p>
  </w:footnote>
  <w:footnote w:type="continuationSeparator" w:id="0">
    <w:p w14:paraId="4E901DE0" w14:textId="77777777" w:rsidR="009B5388" w:rsidRDefault="009B5388">
      <w:r>
        <w:continuationSeparator/>
      </w:r>
    </w:p>
  </w:footnote>
  <w:footnote w:type="continuationNotice" w:id="1">
    <w:p w14:paraId="179A25B0" w14:textId="77777777" w:rsidR="009B5388" w:rsidRDefault="009B53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7"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9"/>
  </w:num>
  <w:num w:numId="2" w16cid:durableId="978150250">
    <w:abstractNumId w:val="20"/>
  </w:num>
  <w:num w:numId="3" w16cid:durableId="1101799896">
    <w:abstractNumId w:val="12"/>
  </w:num>
  <w:num w:numId="4" w16cid:durableId="669144336">
    <w:abstractNumId w:val="17"/>
  </w:num>
  <w:num w:numId="5" w16cid:durableId="41370999">
    <w:abstractNumId w:val="19"/>
  </w:num>
  <w:num w:numId="6" w16cid:durableId="37559467">
    <w:abstractNumId w:val="2"/>
  </w:num>
  <w:num w:numId="7" w16cid:durableId="1189760312">
    <w:abstractNumId w:val="8"/>
  </w:num>
  <w:num w:numId="8" w16cid:durableId="1515920766">
    <w:abstractNumId w:val="4"/>
  </w:num>
  <w:num w:numId="9" w16cid:durableId="1336959860">
    <w:abstractNumId w:val="7"/>
  </w:num>
  <w:num w:numId="10" w16cid:durableId="2098669785">
    <w:abstractNumId w:val="11"/>
  </w:num>
  <w:num w:numId="11" w16cid:durableId="1157645572">
    <w:abstractNumId w:val="5"/>
  </w:num>
  <w:num w:numId="12" w16cid:durableId="11784282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15"/>
  </w:num>
  <w:num w:numId="16" w16cid:durableId="436368670">
    <w:abstractNumId w:val="3"/>
  </w:num>
  <w:num w:numId="17" w16cid:durableId="104693123">
    <w:abstractNumId w:val="14"/>
  </w:num>
  <w:num w:numId="18" w16cid:durableId="953442368">
    <w:abstractNumId w:val="18"/>
  </w:num>
  <w:num w:numId="19" w16cid:durableId="1130973594">
    <w:abstractNumId w:val="0"/>
  </w:num>
  <w:num w:numId="20" w16cid:durableId="1303852571">
    <w:abstractNumId w:val="13"/>
  </w:num>
  <w:num w:numId="21" w16cid:durableId="350641986">
    <w:abstractNumId w:val="10"/>
  </w:num>
  <w:num w:numId="22" w16cid:durableId="172860645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707F"/>
    <w:rsid w:val="00047C90"/>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3D7E"/>
    <w:rsid w:val="000A3F9B"/>
    <w:rsid w:val="000A469A"/>
    <w:rsid w:val="000A4756"/>
    <w:rsid w:val="000A5AD5"/>
    <w:rsid w:val="000B0C46"/>
    <w:rsid w:val="000B19D0"/>
    <w:rsid w:val="000B19E9"/>
    <w:rsid w:val="000B3F59"/>
    <w:rsid w:val="000B4307"/>
    <w:rsid w:val="000B4D19"/>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2162"/>
    <w:rsid w:val="000E427B"/>
    <w:rsid w:val="000E49BE"/>
    <w:rsid w:val="000E5617"/>
    <w:rsid w:val="000E6697"/>
    <w:rsid w:val="000F03B7"/>
    <w:rsid w:val="000F1B7E"/>
    <w:rsid w:val="000F2F84"/>
    <w:rsid w:val="000F342D"/>
    <w:rsid w:val="000F531C"/>
    <w:rsid w:val="000F5AA4"/>
    <w:rsid w:val="000F5AB4"/>
    <w:rsid w:val="000F5DDE"/>
    <w:rsid w:val="000F6E81"/>
    <w:rsid w:val="00101232"/>
    <w:rsid w:val="00101BA1"/>
    <w:rsid w:val="00101E78"/>
    <w:rsid w:val="00102287"/>
    <w:rsid w:val="00102DAD"/>
    <w:rsid w:val="00103F08"/>
    <w:rsid w:val="00104080"/>
    <w:rsid w:val="00104704"/>
    <w:rsid w:val="001047D9"/>
    <w:rsid w:val="00106455"/>
    <w:rsid w:val="00106F4D"/>
    <w:rsid w:val="00107EE0"/>
    <w:rsid w:val="0011069B"/>
    <w:rsid w:val="00110E8D"/>
    <w:rsid w:val="00110EB9"/>
    <w:rsid w:val="00110FF7"/>
    <w:rsid w:val="00111374"/>
    <w:rsid w:val="0011222A"/>
    <w:rsid w:val="00114310"/>
    <w:rsid w:val="001145AF"/>
    <w:rsid w:val="0011470F"/>
    <w:rsid w:val="001147B7"/>
    <w:rsid w:val="00114F98"/>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88C"/>
    <w:rsid w:val="00145075"/>
    <w:rsid w:val="00146FB1"/>
    <w:rsid w:val="0014714F"/>
    <w:rsid w:val="0014751F"/>
    <w:rsid w:val="00147B8F"/>
    <w:rsid w:val="0015058A"/>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9C9"/>
    <w:rsid w:val="00181A75"/>
    <w:rsid w:val="001822E5"/>
    <w:rsid w:val="00182DE1"/>
    <w:rsid w:val="00183165"/>
    <w:rsid w:val="001833C6"/>
    <w:rsid w:val="00183558"/>
    <w:rsid w:val="00183953"/>
    <w:rsid w:val="00186DE6"/>
    <w:rsid w:val="00190C58"/>
    <w:rsid w:val="001914AA"/>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EC7"/>
    <w:rsid w:val="001C4485"/>
    <w:rsid w:val="001C595C"/>
    <w:rsid w:val="001C61CF"/>
    <w:rsid w:val="001C6D73"/>
    <w:rsid w:val="001D0AEF"/>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201C1"/>
    <w:rsid w:val="002218AC"/>
    <w:rsid w:val="00221DC7"/>
    <w:rsid w:val="00221E06"/>
    <w:rsid w:val="00221F6C"/>
    <w:rsid w:val="002236E3"/>
    <w:rsid w:val="00223AD3"/>
    <w:rsid w:val="00224198"/>
    <w:rsid w:val="002244A9"/>
    <w:rsid w:val="00225498"/>
    <w:rsid w:val="0022589F"/>
    <w:rsid w:val="0022606D"/>
    <w:rsid w:val="00226347"/>
    <w:rsid w:val="00233196"/>
    <w:rsid w:val="00233A4C"/>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812"/>
    <w:rsid w:val="00250B04"/>
    <w:rsid w:val="00250E5D"/>
    <w:rsid w:val="002524D2"/>
    <w:rsid w:val="00253640"/>
    <w:rsid w:val="00253EB4"/>
    <w:rsid w:val="0025406F"/>
    <w:rsid w:val="002541AB"/>
    <w:rsid w:val="00254A27"/>
    <w:rsid w:val="00256B66"/>
    <w:rsid w:val="00257A49"/>
    <w:rsid w:val="00260AE7"/>
    <w:rsid w:val="00261860"/>
    <w:rsid w:val="00262113"/>
    <w:rsid w:val="00262A9D"/>
    <w:rsid w:val="00262CB8"/>
    <w:rsid w:val="00262CDC"/>
    <w:rsid w:val="00262EDD"/>
    <w:rsid w:val="0026614D"/>
    <w:rsid w:val="00267147"/>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4170"/>
    <w:rsid w:val="002C6EDD"/>
    <w:rsid w:val="002C708A"/>
    <w:rsid w:val="002C7D19"/>
    <w:rsid w:val="002D0F7A"/>
    <w:rsid w:val="002D10D9"/>
    <w:rsid w:val="002D2AB9"/>
    <w:rsid w:val="002D325D"/>
    <w:rsid w:val="002D4340"/>
    <w:rsid w:val="002D50EB"/>
    <w:rsid w:val="002E0A0A"/>
    <w:rsid w:val="002E0D1C"/>
    <w:rsid w:val="002E13C5"/>
    <w:rsid w:val="002E1652"/>
    <w:rsid w:val="002E1D57"/>
    <w:rsid w:val="002E2CD5"/>
    <w:rsid w:val="002E3084"/>
    <w:rsid w:val="002E386F"/>
    <w:rsid w:val="002E3CCA"/>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1A80"/>
    <w:rsid w:val="004223D5"/>
    <w:rsid w:val="00422461"/>
    <w:rsid w:val="0042394C"/>
    <w:rsid w:val="0042472B"/>
    <w:rsid w:val="004248F5"/>
    <w:rsid w:val="004269D0"/>
    <w:rsid w:val="004275A9"/>
    <w:rsid w:val="004301C1"/>
    <w:rsid w:val="0043027D"/>
    <w:rsid w:val="0043056E"/>
    <w:rsid w:val="00430D92"/>
    <w:rsid w:val="004316D5"/>
    <w:rsid w:val="00431B58"/>
    <w:rsid w:val="004325A5"/>
    <w:rsid w:val="00432F0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5177"/>
    <w:rsid w:val="00485492"/>
    <w:rsid w:val="00485BDB"/>
    <w:rsid w:val="004864C2"/>
    <w:rsid w:val="00486E50"/>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CAE"/>
    <w:rsid w:val="004C0E5F"/>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4564"/>
    <w:rsid w:val="004D6986"/>
    <w:rsid w:val="004E0C79"/>
    <w:rsid w:val="004E213A"/>
    <w:rsid w:val="004E2917"/>
    <w:rsid w:val="004E383E"/>
    <w:rsid w:val="004E419E"/>
    <w:rsid w:val="004E48C4"/>
    <w:rsid w:val="004E663F"/>
    <w:rsid w:val="004E6967"/>
    <w:rsid w:val="004F012B"/>
    <w:rsid w:val="004F0DE1"/>
    <w:rsid w:val="004F0F3A"/>
    <w:rsid w:val="004F10A5"/>
    <w:rsid w:val="004F156A"/>
    <w:rsid w:val="004F2463"/>
    <w:rsid w:val="004F29E2"/>
    <w:rsid w:val="004F6CC1"/>
    <w:rsid w:val="004F6D0B"/>
    <w:rsid w:val="00502735"/>
    <w:rsid w:val="00502BC6"/>
    <w:rsid w:val="00503171"/>
    <w:rsid w:val="005037A0"/>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F58"/>
    <w:rsid w:val="00527DB9"/>
    <w:rsid w:val="00527DE0"/>
    <w:rsid w:val="00532159"/>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E8E"/>
    <w:rsid w:val="005F5010"/>
    <w:rsid w:val="005F503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326"/>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31CD"/>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387E"/>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E91"/>
    <w:rsid w:val="0072678F"/>
    <w:rsid w:val="00727896"/>
    <w:rsid w:val="00730422"/>
    <w:rsid w:val="00733990"/>
    <w:rsid w:val="00733ECD"/>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A8D"/>
    <w:rsid w:val="007E29BC"/>
    <w:rsid w:val="007E4556"/>
    <w:rsid w:val="007E457A"/>
    <w:rsid w:val="007E47BD"/>
    <w:rsid w:val="007E515A"/>
    <w:rsid w:val="007F04EE"/>
    <w:rsid w:val="007F14AD"/>
    <w:rsid w:val="007F18AB"/>
    <w:rsid w:val="007F31EB"/>
    <w:rsid w:val="007F448E"/>
    <w:rsid w:val="007F4F6A"/>
    <w:rsid w:val="007F6EA8"/>
    <w:rsid w:val="007F7268"/>
    <w:rsid w:val="007F7342"/>
    <w:rsid w:val="007F7469"/>
    <w:rsid w:val="00800D57"/>
    <w:rsid w:val="00800F3F"/>
    <w:rsid w:val="0080143C"/>
    <w:rsid w:val="008016F1"/>
    <w:rsid w:val="008023C3"/>
    <w:rsid w:val="008028A4"/>
    <w:rsid w:val="00802A84"/>
    <w:rsid w:val="0080333D"/>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604"/>
    <w:rsid w:val="00834A6D"/>
    <w:rsid w:val="008350EE"/>
    <w:rsid w:val="0083538B"/>
    <w:rsid w:val="00837662"/>
    <w:rsid w:val="0084105A"/>
    <w:rsid w:val="008443EA"/>
    <w:rsid w:val="00845E80"/>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F4B"/>
    <w:rsid w:val="008E131E"/>
    <w:rsid w:val="008E15B7"/>
    <w:rsid w:val="008E185B"/>
    <w:rsid w:val="008E278B"/>
    <w:rsid w:val="008E345E"/>
    <w:rsid w:val="008E3B19"/>
    <w:rsid w:val="008E412B"/>
    <w:rsid w:val="008E457E"/>
    <w:rsid w:val="008E79A5"/>
    <w:rsid w:val="008F0F2E"/>
    <w:rsid w:val="008F2039"/>
    <w:rsid w:val="008F2BF7"/>
    <w:rsid w:val="008F2E9A"/>
    <w:rsid w:val="008F4C67"/>
    <w:rsid w:val="008F4F70"/>
    <w:rsid w:val="00901335"/>
    <w:rsid w:val="0090187C"/>
    <w:rsid w:val="009024E8"/>
    <w:rsid w:val="0090271F"/>
    <w:rsid w:val="00902DB9"/>
    <w:rsid w:val="0090466A"/>
    <w:rsid w:val="00904715"/>
    <w:rsid w:val="009062D3"/>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8D4"/>
    <w:rsid w:val="009A0AF3"/>
    <w:rsid w:val="009A1A7C"/>
    <w:rsid w:val="009A1E95"/>
    <w:rsid w:val="009A22A2"/>
    <w:rsid w:val="009A36A2"/>
    <w:rsid w:val="009A3D14"/>
    <w:rsid w:val="009A443C"/>
    <w:rsid w:val="009A50C5"/>
    <w:rsid w:val="009A7164"/>
    <w:rsid w:val="009A7362"/>
    <w:rsid w:val="009A7F1A"/>
    <w:rsid w:val="009B07CD"/>
    <w:rsid w:val="009B113E"/>
    <w:rsid w:val="009B16DE"/>
    <w:rsid w:val="009B2074"/>
    <w:rsid w:val="009B2310"/>
    <w:rsid w:val="009B4C32"/>
    <w:rsid w:val="009B5388"/>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10F02"/>
    <w:rsid w:val="00A11888"/>
    <w:rsid w:val="00A12025"/>
    <w:rsid w:val="00A14E25"/>
    <w:rsid w:val="00A15EA4"/>
    <w:rsid w:val="00A15FB2"/>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45B8"/>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72"/>
    <w:rsid w:val="00AF654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EBC"/>
    <w:rsid w:val="00B57B2F"/>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2DD7"/>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6CCF"/>
    <w:rsid w:val="00B96FD8"/>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7D7"/>
    <w:rsid w:val="00BC2D6C"/>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6915"/>
    <w:rsid w:val="00C3692B"/>
    <w:rsid w:val="00C37FDE"/>
    <w:rsid w:val="00C41500"/>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E61"/>
    <w:rsid w:val="00C556FB"/>
    <w:rsid w:val="00C57059"/>
    <w:rsid w:val="00C571B2"/>
    <w:rsid w:val="00C614CA"/>
    <w:rsid w:val="00C614FA"/>
    <w:rsid w:val="00C62547"/>
    <w:rsid w:val="00C62F27"/>
    <w:rsid w:val="00C6309C"/>
    <w:rsid w:val="00C63220"/>
    <w:rsid w:val="00C6391F"/>
    <w:rsid w:val="00C64F82"/>
    <w:rsid w:val="00C65A89"/>
    <w:rsid w:val="00C65F6D"/>
    <w:rsid w:val="00C65FAE"/>
    <w:rsid w:val="00C66A08"/>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C05BA"/>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379"/>
    <w:rsid w:val="00CD7823"/>
    <w:rsid w:val="00CD794B"/>
    <w:rsid w:val="00CE054B"/>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4103"/>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3786"/>
    <w:rsid w:val="00D241BA"/>
    <w:rsid w:val="00D241C8"/>
    <w:rsid w:val="00D25079"/>
    <w:rsid w:val="00D26988"/>
    <w:rsid w:val="00D26AA2"/>
    <w:rsid w:val="00D27E3D"/>
    <w:rsid w:val="00D31342"/>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B57"/>
    <w:rsid w:val="00D548D7"/>
    <w:rsid w:val="00D54EF9"/>
    <w:rsid w:val="00D57B51"/>
    <w:rsid w:val="00D61B6D"/>
    <w:rsid w:val="00D61F7E"/>
    <w:rsid w:val="00D62541"/>
    <w:rsid w:val="00D62E82"/>
    <w:rsid w:val="00D63BB4"/>
    <w:rsid w:val="00D64B2D"/>
    <w:rsid w:val="00D652B8"/>
    <w:rsid w:val="00D66F34"/>
    <w:rsid w:val="00D679C7"/>
    <w:rsid w:val="00D7323E"/>
    <w:rsid w:val="00D738D6"/>
    <w:rsid w:val="00D73D5E"/>
    <w:rsid w:val="00D73EBA"/>
    <w:rsid w:val="00D742F4"/>
    <w:rsid w:val="00D75638"/>
    <w:rsid w:val="00D80795"/>
    <w:rsid w:val="00D80F5E"/>
    <w:rsid w:val="00D840F9"/>
    <w:rsid w:val="00D8515E"/>
    <w:rsid w:val="00D8677C"/>
    <w:rsid w:val="00D8694E"/>
    <w:rsid w:val="00D870B2"/>
    <w:rsid w:val="00D87712"/>
    <w:rsid w:val="00D87A08"/>
    <w:rsid w:val="00D87E00"/>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309B"/>
    <w:rsid w:val="00DC41E9"/>
    <w:rsid w:val="00DC4DA2"/>
    <w:rsid w:val="00DC4E2C"/>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D2A"/>
    <w:rsid w:val="00DE2DEE"/>
    <w:rsid w:val="00DE44B0"/>
    <w:rsid w:val="00DE4A98"/>
    <w:rsid w:val="00DE4B8E"/>
    <w:rsid w:val="00DE56A5"/>
    <w:rsid w:val="00DE6165"/>
    <w:rsid w:val="00DF08B7"/>
    <w:rsid w:val="00DF0AFA"/>
    <w:rsid w:val="00DF0F60"/>
    <w:rsid w:val="00DF23B6"/>
    <w:rsid w:val="00DF2549"/>
    <w:rsid w:val="00DF25A8"/>
    <w:rsid w:val="00DF2B7B"/>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3697"/>
    <w:rsid w:val="00E83810"/>
    <w:rsid w:val="00E83B8C"/>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7699"/>
    <w:rsid w:val="00EC0A52"/>
    <w:rsid w:val="00EC1383"/>
    <w:rsid w:val="00EC1476"/>
    <w:rsid w:val="00EC1539"/>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797"/>
    <w:rsid w:val="00F04C08"/>
    <w:rsid w:val="00F04C45"/>
    <w:rsid w:val="00F05D71"/>
    <w:rsid w:val="00F06F0B"/>
    <w:rsid w:val="00F07388"/>
    <w:rsid w:val="00F07FD6"/>
    <w:rsid w:val="00F11B53"/>
    <w:rsid w:val="00F11D6B"/>
    <w:rsid w:val="00F12B8B"/>
    <w:rsid w:val="00F13B1B"/>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7D8"/>
    <w:rsid w:val="00F45921"/>
    <w:rsid w:val="00F45BF8"/>
    <w:rsid w:val="00F47078"/>
    <w:rsid w:val="00F47229"/>
    <w:rsid w:val="00F4731F"/>
    <w:rsid w:val="00F47826"/>
    <w:rsid w:val="00F503E6"/>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601F"/>
    <w:rsid w:val="00F76050"/>
    <w:rsid w:val="00F760F6"/>
    <w:rsid w:val="00F76F8F"/>
    <w:rsid w:val="00F76FB3"/>
    <w:rsid w:val="00F777E4"/>
    <w:rsid w:val="00F80C4B"/>
    <w:rsid w:val="00F80F72"/>
    <w:rsid w:val="00F81496"/>
    <w:rsid w:val="00F8151C"/>
    <w:rsid w:val="00F83135"/>
    <w:rsid w:val="00F83DE5"/>
    <w:rsid w:val="00F84AD1"/>
    <w:rsid w:val="00F8529B"/>
    <w:rsid w:val="00F854FE"/>
    <w:rsid w:val="00F8570F"/>
    <w:rsid w:val="00F85731"/>
    <w:rsid w:val="00F8639A"/>
    <w:rsid w:val="00F86B9C"/>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79D2"/>
    <w:rsid w:val="00FE0A3D"/>
    <w:rsid w:val="00FE0DB2"/>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EBA"/>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434</TotalTime>
  <Pages>6</Pages>
  <Words>2818</Words>
  <Characters>14623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Sherif Elazzouni</cp:lastModifiedBy>
  <cp:revision>149</cp:revision>
  <dcterms:created xsi:type="dcterms:W3CDTF">2022-09-27T17:38:00Z</dcterms:created>
  <dcterms:modified xsi:type="dcterms:W3CDTF">2022-11-03T21:20:00Z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